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 סגנית הנשיא</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מירה דהן</w:t>
                </w:r>
              </w:sdtContent>
            </w:sdt>
          </w:p>
          <w:p w:rsidR="002914D6" w:rsidRDefault="002914D6">
            <w:pPr>
              <w:rPr>
                <w:rFonts w:ascii="Arial" w:hAnsi="Arial" w:cs="FrankRuehl"/>
                <w:sz w:val="28"/>
                <w:szCs w:val="28"/>
                <w:highlight w:val="yellow"/>
              </w:rPr>
            </w:pPr>
          </w:p>
        </w:tc>
      </w:tr>
    </w:tbl>
    <w:p w:rsidR="00FA7A9E" w:rsidRPr="003B696A" w:rsidRDefault="00FA7A9E" w:rsidP="00FA7A9E">
      <w:pPr>
        <w:rPr>
          <w:rFonts w:ascii="David" w:hAnsi="David"/>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A7A9E" w:rsidRPr="003B696A" w:rsidTr="00F45D15">
        <w:trPr>
          <w:jc w:val="center"/>
        </w:trPr>
        <w:tc>
          <w:tcPr>
            <w:tcW w:w="743" w:type="dxa"/>
          </w:tcPr>
          <w:p w:rsidR="00FA7A9E" w:rsidRPr="003B696A" w:rsidRDefault="00FA7A9E" w:rsidP="00F45D15">
            <w:pPr>
              <w:jc w:val="both"/>
              <w:rPr>
                <w:rFonts w:ascii="David" w:hAnsi="David"/>
                <w:b/>
                <w:bCs/>
              </w:rPr>
            </w:pPr>
          </w:p>
        </w:tc>
        <w:tc>
          <w:tcPr>
            <w:tcW w:w="8077" w:type="dxa"/>
            <w:gridSpan w:val="2"/>
          </w:tcPr>
          <w:p w:rsidR="00FA7A9E" w:rsidRPr="003B696A" w:rsidRDefault="00FA7A9E" w:rsidP="00F45D15">
            <w:pPr>
              <w:rPr>
                <w:rFonts w:ascii="David" w:hAnsi="David"/>
                <w:highlight w:val="yellow"/>
              </w:rPr>
            </w:pPr>
          </w:p>
        </w:tc>
      </w:tr>
      <w:tr w:rsidR="00FA7A9E" w:rsidRPr="003B696A" w:rsidTr="00F45D15">
        <w:trPr>
          <w:jc w:val="center"/>
        </w:trPr>
        <w:sdt>
          <w:sdtPr>
            <w:rPr>
              <w:rFonts w:ascii="David" w:hAnsi="David"/>
              <w:b/>
              <w:bCs/>
              <w:noProof w:val="0"/>
            </w:rPr>
            <w:alias w:val="1180"/>
            <w:tag w:val="1180"/>
            <w:id w:val="108787784"/>
            <w:placeholder>
              <w:docPart w:val="442AA7DA2E954ABF8768FE024FD34E53"/>
            </w:placeholder>
            <w:text w:multiLine="1"/>
          </w:sdtPr>
          <w:sdtEndPr/>
          <w:sdtContent>
            <w:tc>
              <w:tcPr>
                <w:tcW w:w="3249" w:type="dxa"/>
                <w:gridSpan w:val="2"/>
              </w:tcPr>
              <w:p w:rsidR="00FA7A9E" w:rsidRPr="000851E3" w:rsidRDefault="00FA7A9E" w:rsidP="00F45D15">
                <w:pPr>
                  <w:bidi w:val="0"/>
                  <w:jc w:val="right"/>
                  <w:rPr>
                    <w:rFonts w:ascii="David" w:hAnsi="David"/>
                    <w:b/>
                    <w:bCs/>
                    <w:noProof w:val="0"/>
                    <w:rtl/>
                  </w:rPr>
                </w:pPr>
                <w:r w:rsidRPr="000851E3">
                  <w:rPr>
                    <w:rFonts w:ascii="David" w:hAnsi="David"/>
                    <w:b/>
                    <w:bCs/>
                    <w:noProof w:val="0"/>
                    <w:rtl/>
                  </w:rPr>
                  <w:t>המתנגדות</w:t>
                </w:r>
              </w:p>
            </w:tc>
          </w:sdtContent>
        </w:sdt>
        <w:tc>
          <w:tcPr>
            <w:tcW w:w="5571" w:type="dxa"/>
          </w:tcPr>
          <w:p w:rsidR="00FA7A9E" w:rsidRPr="000851E3" w:rsidRDefault="00FA7A9E" w:rsidP="00F45D15">
            <w:pPr>
              <w:rPr>
                <w:rFonts w:ascii="David" w:hAnsi="David"/>
                <w:b/>
                <w:bCs/>
                <w:noProof w:val="0"/>
                <w:rtl/>
              </w:rPr>
            </w:pPr>
          </w:p>
          <w:p w:rsidR="00FA7A9E" w:rsidRPr="000851E3" w:rsidRDefault="00FA7A9E" w:rsidP="000851E3">
            <w:pPr>
              <w:rPr>
                <w:rFonts w:ascii="David" w:hAnsi="David"/>
                <w:b/>
                <w:bCs/>
                <w:noProof w:val="0"/>
              </w:rPr>
            </w:pPr>
            <w:r w:rsidRPr="000851E3">
              <w:rPr>
                <w:rFonts w:ascii="David" w:hAnsi="David"/>
                <w:b/>
                <w:bCs/>
                <w:noProof w:val="0"/>
                <w:rtl/>
              </w:rPr>
              <w:t xml:space="preserve"> </w:t>
            </w:r>
            <w:sdt>
              <w:sdtPr>
                <w:rPr>
                  <w:rFonts w:ascii="David" w:hAnsi="David"/>
                  <w:b/>
                  <w:bCs/>
                  <w:noProof w:val="0"/>
                  <w:rtl/>
                </w:rPr>
                <w:alias w:val="1462"/>
                <w:tag w:val="1462"/>
                <w:id w:val="-1109351581"/>
                <w:placeholder>
                  <w:docPart w:val="835AC55720874EFB86714451A322DE05"/>
                </w:placeholder>
                <w:text w:multiLine="1"/>
              </w:sdtPr>
              <w:sdtEndPr/>
              <w:sdtContent>
                <w:r w:rsidRPr="000851E3">
                  <w:rPr>
                    <w:rStyle w:val="ac"/>
                    <w:rFonts w:ascii="David" w:hAnsi="David"/>
                    <w:b/>
                    <w:bCs/>
                    <w:color w:val="auto"/>
                    <w:rtl/>
                  </w:rPr>
                  <w:t>1</w:t>
                </w:r>
              </w:sdtContent>
            </w:sdt>
            <w:r w:rsidRPr="000851E3">
              <w:rPr>
                <w:rFonts w:ascii="David" w:hAnsi="David"/>
                <w:b/>
                <w:bCs/>
                <w:noProof w:val="0"/>
                <w:rtl/>
              </w:rPr>
              <w:t xml:space="preserve">. </w:t>
            </w:r>
            <w:sdt>
              <w:sdtPr>
                <w:rPr>
                  <w:rFonts w:ascii="David" w:hAnsi="David"/>
                  <w:b/>
                  <w:bCs/>
                  <w:noProof w:val="0"/>
                  <w:rtl/>
                </w:rPr>
                <w:alias w:val="1478"/>
                <w:tag w:val="1478"/>
                <w:id w:val="614022805"/>
                <w:text w:multiLine="1"/>
              </w:sdtPr>
              <w:sdtEndPr/>
              <w:sdtContent>
                <w:r w:rsidR="000851E3" w:rsidRPr="000851E3">
                  <w:rPr>
                    <w:rStyle w:val="ac"/>
                    <w:rFonts w:hint="cs"/>
                    <w:color w:val="auto"/>
                    <w:rtl/>
                  </w:rPr>
                  <w:t xml:space="preserve">א. </w:t>
                </w:r>
              </w:sdtContent>
            </w:sdt>
            <w:r w:rsidRPr="000851E3">
              <w:rPr>
                <w:rFonts w:ascii="David" w:hAnsi="David"/>
                <w:b/>
                <w:bCs/>
                <w:noProof w:val="0"/>
                <w:rtl/>
              </w:rPr>
              <w:t xml:space="preserve">, </w:t>
            </w:r>
            <w:sdt>
              <w:sdtPr>
                <w:rPr>
                  <w:rFonts w:ascii="David" w:hAnsi="David"/>
                  <w:b/>
                  <w:bCs/>
                  <w:noProof w:val="0"/>
                  <w:rtl/>
                </w:rPr>
                <w:alias w:val="2315"/>
                <w:tag w:val="2315"/>
                <w:id w:val="18278187"/>
                <w:text w:multiLine="1"/>
              </w:sdtPr>
              <w:sdtEndPr/>
              <w:sdtContent>
                <w:r w:rsidRPr="000851E3">
                  <w:rPr>
                    <w:rStyle w:val="ac"/>
                    <w:rFonts w:ascii="David" w:hAnsi="David"/>
                    <w:b/>
                    <w:bCs/>
                    <w:color w:val="auto"/>
                    <w:rtl/>
                  </w:rPr>
                  <w:t>ת"ז</w:t>
                </w:r>
              </w:sdtContent>
            </w:sdt>
            <w:r w:rsidRPr="000851E3">
              <w:rPr>
                <w:rFonts w:ascii="David" w:hAnsi="David"/>
                <w:b/>
                <w:bCs/>
                <w:noProof w:val="0"/>
                <w:rtl/>
              </w:rPr>
              <w:t xml:space="preserve"> </w:t>
            </w:r>
            <w:sdt>
              <w:sdtPr>
                <w:rPr>
                  <w:rFonts w:ascii="David" w:hAnsi="David"/>
                  <w:b/>
                  <w:bCs/>
                  <w:noProof w:val="0"/>
                  <w:rtl/>
                </w:rPr>
                <w:alias w:val="2316"/>
                <w:tag w:val="2316"/>
                <w:id w:val="1507024034"/>
                <w:showingPlcHdr/>
                <w:text w:multiLine="1"/>
              </w:sdtPr>
              <w:sdtEndPr/>
              <w:sdtContent>
                <w:r w:rsidR="000851E3" w:rsidRPr="000851E3">
                  <w:rPr>
                    <w:rFonts w:ascii="David" w:hAnsi="David"/>
                    <w:b/>
                    <w:bCs/>
                    <w:noProof w:val="0"/>
                    <w:rtl/>
                  </w:rPr>
                  <w:t xml:space="preserve">     </w:t>
                </w:r>
              </w:sdtContent>
            </w:sdt>
          </w:p>
          <w:p w:rsidR="00FA7A9E" w:rsidRPr="000851E3" w:rsidRDefault="00FA7A9E" w:rsidP="000851E3">
            <w:pPr>
              <w:rPr>
                <w:rFonts w:ascii="David" w:hAnsi="David"/>
                <w:b/>
                <w:bCs/>
                <w:noProof w:val="0"/>
                <w:rtl/>
              </w:rPr>
            </w:pPr>
            <w:r w:rsidRPr="000851E3">
              <w:rPr>
                <w:rFonts w:ascii="David" w:hAnsi="David"/>
                <w:b/>
                <w:bCs/>
                <w:noProof w:val="0"/>
                <w:rtl/>
              </w:rPr>
              <w:t xml:space="preserve"> </w:t>
            </w:r>
            <w:sdt>
              <w:sdtPr>
                <w:rPr>
                  <w:rFonts w:ascii="David" w:hAnsi="David"/>
                  <w:b/>
                  <w:bCs/>
                  <w:noProof w:val="0"/>
                  <w:rtl/>
                </w:rPr>
                <w:alias w:val="1462"/>
                <w:tag w:val="1462"/>
                <w:id w:val="-866524398"/>
                <w:placeholder>
                  <w:docPart w:val="835AC55720874EFB86714451A322DE05"/>
                </w:placeholder>
                <w:text w:multiLine="1"/>
              </w:sdtPr>
              <w:sdtEndPr/>
              <w:sdtContent>
                <w:r w:rsidRPr="000851E3">
                  <w:rPr>
                    <w:rStyle w:val="ac"/>
                    <w:rFonts w:ascii="David" w:hAnsi="David"/>
                    <w:b/>
                    <w:bCs/>
                    <w:color w:val="auto"/>
                    <w:rtl/>
                  </w:rPr>
                  <w:t>2</w:t>
                </w:r>
              </w:sdtContent>
            </w:sdt>
            <w:r w:rsidRPr="000851E3">
              <w:rPr>
                <w:rFonts w:ascii="David" w:hAnsi="David"/>
                <w:b/>
                <w:bCs/>
                <w:noProof w:val="0"/>
                <w:rtl/>
              </w:rPr>
              <w:t xml:space="preserve">. </w:t>
            </w:r>
            <w:sdt>
              <w:sdtPr>
                <w:rPr>
                  <w:rFonts w:ascii="David" w:hAnsi="David"/>
                  <w:b/>
                  <w:bCs/>
                  <w:noProof w:val="0"/>
                  <w:rtl/>
                </w:rPr>
                <w:alias w:val="1478"/>
                <w:tag w:val="1478"/>
                <w:id w:val="-1679267345"/>
                <w:text w:multiLine="1"/>
              </w:sdtPr>
              <w:sdtEndPr/>
              <w:sdtContent>
                <w:r w:rsidR="000851E3" w:rsidRPr="000851E3">
                  <w:rPr>
                    <w:rStyle w:val="ac"/>
                    <w:rFonts w:hint="cs"/>
                    <w:color w:val="auto"/>
                    <w:rtl/>
                  </w:rPr>
                  <w:t xml:space="preserve">ב. </w:t>
                </w:r>
              </w:sdtContent>
            </w:sdt>
            <w:r w:rsidRPr="000851E3">
              <w:rPr>
                <w:rFonts w:ascii="David" w:hAnsi="David"/>
                <w:b/>
                <w:bCs/>
                <w:noProof w:val="0"/>
                <w:rtl/>
              </w:rPr>
              <w:t xml:space="preserve">, </w:t>
            </w:r>
            <w:sdt>
              <w:sdtPr>
                <w:rPr>
                  <w:rFonts w:ascii="David" w:hAnsi="David"/>
                  <w:b/>
                  <w:bCs/>
                  <w:noProof w:val="0"/>
                  <w:rtl/>
                </w:rPr>
                <w:alias w:val="2315"/>
                <w:tag w:val="2315"/>
                <w:id w:val="1126975985"/>
                <w:text w:multiLine="1"/>
              </w:sdtPr>
              <w:sdtEndPr/>
              <w:sdtContent>
                <w:r w:rsidRPr="000851E3">
                  <w:rPr>
                    <w:rStyle w:val="ac"/>
                    <w:rFonts w:ascii="David" w:hAnsi="David"/>
                    <w:b/>
                    <w:bCs/>
                    <w:color w:val="auto"/>
                    <w:rtl/>
                  </w:rPr>
                  <w:t>ת"ז</w:t>
                </w:r>
              </w:sdtContent>
            </w:sdt>
            <w:r w:rsidRPr="000851E3">
              <w:rPr>
                <w:rFonts w:ascii="David" w:hAnsi="David"/>
                <w:b/>
                <w:bCs/>
                <w:noProof w:val="0"/>
                <w:rtl/>
              </w:rPr>
              <w:t xml:space="preserve"> </w:t>
            </w:r>
          </w:p>
          <w:p w:rsidR="00FA7A9E" w:rsidRPr="000851E3" w:rsidRDefault="00FA7A9E" w:rsidP="00F45D15">
            <w:pPr>
              <w:rPr>
                <w:rFonts w:ascii="David" w:hAnsi="David"/>
                <w:b/>
                <w:bCs/>
                <w:noProof w:val="0"/>
                <w:rtl/>
              </w:rPr>
            </w:pPr>
          </w:p>
          <w:p w:rsidR="00FA7A9E" w:rsidRPr="000851E3" w:rsidRDefault="00FA7A9E" w:rsidP="00F45D15">
            <w:pPr>
              <w:rPr>
                <w:rFonts w:ascii="David" w:hAnsi="David"/>
                <w:b/>
                <w:bCs/>
                <w:noProof w:val="0"/>
                <w:rtl/>
              </w:rPr>
            </w:pPr>
            <w:r w:rsidRPr="000851E3">
              <w:rPr>
                <w:rFonts w:ascii="David" w:hAnsi="David"/>
                <w:b/>
                <w:bCs/>
                <w:noProof w:val="0"/>
                <w:rtl/>
              </w:rPr>
              <w:t>ע"י ב"כ עוה"ד מרב אבישי</w:t>
            </w:r>
          </w:p>
          <w:p w:rsidR="00FA7A9E" w:rsidRPr="000851E3" w:rsidRDefault="00FA7A9E" w:rsidP="00F45D15">
            <w:pPr>
              <w:rPr>
                <w:rFonts w:ascii="David" w:hAnsi="David"/>
                <w:b/>
                <w:bCs/>
                <w:noProof w:val="0"/>
              </w:rPr>
            </w:pPr>
            <w:r w:rsidRPr="000851E3">
              <w:rPr>
                <w:rFonts w:ascii="David" w:hAnsi="David"/>
                <w:b/>
                <w:bCs/>
                <w:noProof w:val="0"/>
                <w:rtl/>
              </w:rPr>
              <w:t>מרחוב בלוך 2 , תל אביב</w:t>
            </w:r>
          </w:p>
        </w:tc>
      </w:tr>
      <w:tr w:rsidR="00FA7A9E" w:rsidRPr="003B696A" w:rsidTr="00F45D15">
        <w:trPr>
          <w:jc w:val="center"/>
        </w:trPr>
        <w:tc>
          <w:tcPr>
            <w:tcW w:w="8820" w:type="dxa"/>
            <w:gridSpan w:val="3"/>
          </w:tcPr>
          <w:p w:rsidR="00FA7A9E" w:rsidRPr="000851E3" w:rsidRDefault="00FA7A9E" w:rsidP="00F45D15">
            <w:pPr>
              <w:rPr>
                <w:rFonts w:ascii="David" w:hAnsi="David"/>
                <w:b/>
                <w:bCs/>
                <w:noProof w:val="0"/>
                <w:rtl/>
              </w:rPr>
            </w:pPr>
          </w:p>
          <w:p w:rsidR="00FA7A9E" w:rsidRPr="000851E3" w:rsidRDefault="00FA7A9E" w:rsidP="00F45D15">
            <w:pPr>
              <w:jc w:val="center"/>
              <w:rPr>
                <w:rFonts w:ascii="David" w:hAnsi="David"/>
                <w:b/>
                <w:bCs/>
                <w:noProof w:val="0"/>
                <w:rtl/>
              </w:rPr>
            </w:pPr>
            <w:r w:rsidRPr="000851E3">
              <w:rPr>
                <w:rFonts w:ascii="David" w:hAnsi="David"/>
                <w:b/>
                <w:bCs/>
                <w:noProof w:val="0"/>
                <w:rtl/>
              </w:rPr>
              <w:t>נגד</w:t>
            </w:r>
          </w:p>
          <w:p w:rsidR="00FA7A9E" w:rsidRPr="000851E3" w:rsidRDefault="00FA7A9E" w:rsidP="00F45D15">
            <w:pPr>
              <w:rPr>
                <w:rFonts w:ascii="David" w:hAnsi="David"/>
                <w:b/>
                <w:bCs/>
                <w:noProof w:val="0"/>
              </w:rPr>
            </w:pPr>
          </w:p>
        </w:tc>
      </w:tr>
      <w:tr w:rsidR="00FA7A9E" w:rsidRPr="003B696A" w:rsidTr="00F45D15">
        <w:trPr>
          <w:jc w:val="center"/>
        </w:trPr>
        <w:tc>
          <w:tcPr>
            <w:tcW w:w="3249" w:type="dxa"/>
            <w:gridSpan w:val="2"/>
          </w:tcPr>
          <w:p w:rsidR="00FA7A9E" w:rsidRPr="003B696A" w:rsidRDefault="00FA7A9E" w:rsidP="00F45D15">
            <w:pPr>
              <w:rPr>
                <w:rFonts w:ascii="David" w:hAnsi="David"/>
                <w:b/>
                <w:bCs/>
                <w:noProof w:val="0"/>
                <w:rtl/>
              </w:rPr>
            </w:pPr>
          </w:p>
          <w:p w:rsidR="00FA7A9E" w:rsidRPr="003B696A" w:rsidRDefault="0048558D" w:rsidP="00F45D15">
            <w:pPr>
              <w:rPr>
                <w:rFonts w:ascii="David" w:hAnsi="David"/>
                <w:b/>
                <w:bCs/>
                <w:noProof w:val="0"/>
              </w:rPr>
            </w:pPr>
            <w:sdt>
              <w:sdtPr>
                <w:rPr>
                  <w:rFonts w:ascii="David" w:hAnsi="David"/>
                  <w:rtl/>
                </w:rPr>
                <w:alias w:val="1184"/>
                <w:tag w:val="1184"/>
                <w:id w:val="1218863978"/>
                <w:text w:multiLine="1"/>
              </w:sdtPr>
              <w:sdtEndPr/>
              <w:sdtContent>
                <w:r w:rsidR="00FA7A9E" w:rsidRPr="003B696A">
                  <w:rPr>
                    <w:rFonts w:ascii="David" w:hAnsi="David"/>
                    <w:b/>
                    <w:bCs/>
                    <w:noProof w:val="0"/>
                    <w:rtl/>
                  </w:rPr>
                  <w:t>התובעת (מבקשת הקיום)</w:t>
                </w:r>
              </w:sdtContent>
            </w:sdt>
          </w:p>
        </w:tc>
        <w:tc>
          <w:tcPr>
            <w:tcW w:w="5571" w:type="dxa"/>
          </w:tcPr>
          <w:p w:rsidR="00FA7A9E" w:rsidRPr="003B696A" w:rsidRDefault="00FA7A9E" w:rsidP="00F45D15">
            <w:pPr>
              <w:rPr>
                <w:rFonts w:ascii="David" w:hAnsi="David"/>
                <w:b/>
                <w:bCs/>
                <w:noProof w:val="0"/>
                <w:rtl/>
              </w:rPr>
            </w:pPr>
            <w:r w:rsidRPr="003B696A">
              <w:rPr>
                <w:rFonts w:ascii="David" w:hAnsi="David"/>
                <w:b/>
                <w:bCs/>
                <w:noProof w:val="0"/>
                <w:rtl/>
              </w:rPr>
              <w:t xml:space="preserve"> </w:t>
            </w:r>
          </w:p>
          <w:p w:rsidR="00FA7A9E" w:rsidRPr="003B696A" w:rsidRDefault="00FA7A9E" w:rsidP="00F45D15">
            <w:pPr>
              <w:rPr>
                <w:rFonts w:ascii="David" w:hAnsi="David"/>
                <w:b/>
                <w:bCs/>
                <w:noProof w:val="0"/>
                <w:rtl/>
              </w:rPr>
            </w:pPr>
          </w:p>
          <w:p w:rsidR="00FA7A9E" w:rsidRPr="003B696A" w:rsidRDefault="00FA7A9E" w:rsidP="000851E3">
            <w:pPr>
              <w:rPr>
                <w:rFonts w:ascii="David" w:hAnsi="David"/>
                <w:b/>
                <w:bCs/>
                <w:noProof w:val="0"/>
              </w:rPr>
            </w:pPr>
            <w:r w:rsidRPr="003B696A">
              <w:rPr>
                <w:rFonts w:ascii="David" w:hAnsi="David"/>
                <w:b/>
                <w:bCs/>
                <w:noProof w:val="0"/>
                <w:rtl/>
              </w:rPr>
              <w:t xml:space="preserve"> </w:t>
            </w:r>
            <w:sdt>
              <w:sdtPr>
                <w:rPr>
                  <w:rFonts w:ascii="David" w:hAnsi="David"/>
                  <w:b/>
                  <w:bCs/>
                  <w:noProof w:val="0"/>
                  <w:rtl/>
                </w:rPr>
                <w:alias w:val="1486"/>
                <w:tag w:val="1486"/>
                <w:id w:val="-788436018"/>
                <w:text w:multiLine="1"/>
              </w:sdtPr>
              <w:sdtEndPr/>
              <w:sdtContent>
                <w:r w:rsidRPr="003B696A">
                  <w:rPr>
                    <w:rStyle w:val="ac"/>
                    <w:rFonts w:ascii="David" w:hAnsi="David"/>
                    <w:b/>
                    <w:bCs/>
                    <w:color w:val="auto"/>
                    <w:rtl/>
                  </w:rPr>
                  <w:t>ד</w:t>
                </w:r>
                <w:r w:rsidR="000851E3">
                  <w:rPr>
                    <w:rStyle w:val="ac"/>
                    <w:rFonts w:ascii="David" w:hAnsi="David" w:hint="cs"/>
                    <w:b/>
                    <w:bCs/>
                    <w:color w:val="auto"/>
                    <w:rtl/>
                  </w:rPr>
                  <w:t xml:space="preserve">. </w:t>
                </w:r>
              </w:sdtContent>
            </w:sdt>
            <w:r w:rsidRPr="003B696A">
              <w:rPr>
                <w:rFonts w:ascii="David" w:hAnsi="David"/>
                <w:b/>
                <w:bCs/>
                <w:noProof w:val="0"/>
                <w:rtl/>
              </w:rPr>
              <w:t xml:space="preserve">, </w:t>
            </w:r>
            <w:sdt>
              <w:sdtPr>
                <w:rPr>
                  <w:rFonts w:ascii="David" w:hAnsi="David"/>
                  <w:b/>
                  <w:bCs/>
                  <w:noProof w:val="0"/>
                  <w:rtl/>
                </w:rPr>
                <w:alias w:val="2317"/>
                <w:tag w:val="2317"/>
                <w:id w:val="136302723"/>
                <w:text w:multiLine="1"/>
              </w:sdtPr>
              <w:sdtEndPr/>
              <w:sdtContent>
                <w:r w:rsidRPr="003B696A">
                  <w:rPr>
                    <w:rStyle w:val="ac"/>
                    <w:rFonts w:ascii="David" w:hAnsi="David"/>
                    <w:b/>
                    <w:bCs/>
                    <w:color w:val="auto"/>
                    <w:rtl/>
                  </w:rPr>
                  <w:t>ת"ז</w:t>
                </w:r>
              </w:sdtContent>
            </w:sdt>
            <w:r w:rsidRPr="003B696A">
              <w:rPr>
                <w:rFonts w:ascii="David" w:hAnsi="David"/>
                <w:b/>
                <w:bCs/>
                <w:noProof w:val="0"/>
                <w:rtl/>
              </w:rPr>
              <w:t xml:space="preserve">  </w:t>
            </w:r>
            <w:sdt>
              <w:sdtPr>
                <w:rPr>
                  <w:rFonts w:ascii="David" w:hAnsi="David"/>
                  <w:b/>
                  <w:bCs/>
                  <w:noProof w:val="0"/>
                  <w:rtl/>
                </w:rPr>
                <w:alias w:val="2318"/>
                <w:tag w:val="2318"/>
                <w:id w:val="-1965577516"/>
                <w:text w:multiLine="1"/>
              </w:sdtPr>
              <w:sdtEndPr/>
              <w:sdtContent>
                <w:r w:rsidRPr="003B696A">
                  <w:rPr>
                    <w:rStyle w:val="ac"/>
                    <w:rFonts w:ascii="David" w:hAnsi="David"/>
                    <w:b/>
                    <w:bCs/>
                    <w:color w:val="auto"/>
                    <w:rtl/>
                  </w:rPr>
                  <w:br/>
                </w:r>
                <w:r w:rsidRPr="003B696A">
                  <w:rPr>
                    <w:rFonts w:ascii="David" w:hAnsi="David"/>
                    <w:b/>
                    <w:bCs/>
                    <w:noProof w:val="0"/>
                    <w:rtl/>
                  </w:rPr>
                  <w:br/>
                </w:r>
              </w:sdtContent>
            </w:sdt>
            <w:r w:rsidRPr="003B696A">
              <w:rPr>
                <w:rFonts w:ascii="David" w:hAnsi="David"/>
                <w:b/>
                <w:bCs/>
                <w:noProof w:val="0"/>
                <w:rtl/>
              </w:rPr>
              <w:t xml:space="preserve"> </w:t>
            </w:r>
          </w:p>
          <w:p w:rsidR="00FA7A9E" w:rsidRPr="003B696A" w:rsidRDefault="00FA7A9E" w:rsidP="00F45D15">
            <w:pPr>
              <w:rPr>
                <w:rFonts w:ascii="David" w:hAnsi="David"/>
                <w:b/>
                <w:bCs/>
                <w:noProof w:val="0"/>
                <w:rtl/>
              </w:rPr>
            </w:pPr>
          </w:p>
        </w:tc>
      </w:tr>
      <w:tr w:rsidR="00FA7A9E" w:rsidRPr="003B696A" w:rsidTr="00F45D15">
        <w:trPr>
          <w:jc w:val="center"/>
        </w:trPr>
        <w:tc>
          <w:tcPr>
            <w:tcW w:w="8820" w:type="dxa"/>
            <w:gridSpan w:val="3"/>
          </w:tcPr>
          <w:p w:rsidR="00FA7A9E" w:rsidRPr="003B696A" w:rsidRDefault="00FA7A9E" w:rsidP="00F45D15">
            <w:pPr>
              <w:bidi w:val="0"/>
              <w:jc w:val="center"/>
              <w:rPr>
                <w:rFonts w:ascii="David" w:hAnsi="David"/>
                <w:b/>
                <w:bCs/>
                <w:noProof w:val="0"/>
                <w:sz w:val="32"/>
                <w:szCs w:val="32"/>
              </w:rPr>
            </w:pPr>
          </w:p>
          <w:p w:rsidR="00FA7A9E" w:rsidRPr="003B696A" w:rsidRDefault="00FA7A9E" w:rsidP="00F45D15">
            <w:pPr>
              <w:bidi w:val="0"/>
              <w:jc w:val="center"/>
              <w:rPr>
                <w:rFonts w:ascii="David" w:hAnsi="David"/>
                <w:b/>
                <w:bCs/>
                <w:noProof w:val="0"/>
                <w:sz w:val="32"/>
                <w:szCs w:val="32"/>
                <w:u w:val="single"/>
              </w:rPr>
            </w:pPr>
          </w:p>
          <w:p w:rsidR="00FA7A9E" w:rsidRPr="003B696A" w:rsidRDefault="00FA7A9E" w:rsidP="00F45D15">
            <w:pPr>
              <w:bidi w:val="0"/>
              <w:jc w:val="center"/>
              <w:rPr>
                <w:rFonts w:ascii="David" w:hAnsi="David"/>
                <w:b/>
                <w:bCs/>
                <w:noProof w:val="0"/>
                <w:sz w:val="32"/>
                <w:szCs w:val="32"/>
                <w:u w:val="single"/>
              </w:rPr>
            </w:pPr>
            <w:r w:rsidRPr="003B696A">
              <w:rPr>
                <w:rFonts w:ascii="David" w:hAnsi="David"/>
                <w:b/>
                <w:bCs/>
                <w:noProof w:val="0"/>
                <w:sz w:val="32"/>
                <w:szCs w:val="32"/>
                <w:u w:val="single"/>
                <w:rtl/>
              </w:rPr>
              <w:t>פסק דין</w:t>
            </w:r>
          </w:p>
        </w:tc>
      </w:tr>
    </w:tbl>
    <w:p w:rsidR="00FA7A9E" w:rsidRPr="003B696A" w:rsidRDefault="00FA7A9E" w:rsidP="00FA7A9E">
      <w:pPr>
        <w:spacing w:line="360" w:lineRule="auto"/>
        <w:jc w:val="both"/>
        <w:rPr>
          <w:rFonts w:ascii="David" w:hAnsi="David"/>
          <w:noProof w:val="0"/>
          <w:sz w:val="32"/>
          <w:szCs w:val="32"/>
          <w:rtl/>
        </w:rPr>
      </w:pPr>
    </w:p>
    <w:p w:rsidR="00FA7A9E" w:rsidRPr="003B696A" w:rsidRDefault="00FA7A9E" w:rsidP="007503BD">
      <w:pPr>
        <w:spacing w:line="360" w:lineRule="auto"/>
        <w:jc w:val="both"/>
        <w:rPr>
          <w:rFonts w:ascii="David" w:hAnsi="David"/>
          <w:noProof w:val="0"/>
          <w:rtl/>
        </w:rPr>
      </w:pPr>
      <w:r w:rsidRPr="003B696A">
        <w:rPr>
          <w:rFonts w:ascii="David" w:hAnsi="David"/>
          <w:noProof w:val="0"/>
          <w:rtl/>
        </w:rPr>
        <w:t>הונחה בפניי צוואת המנוחה ש</w:t>
      </w:r>
      <w:r w:rsidR="007503BD">
        <w:rPr>
          <w:rFonts w:ascii="David" w:hAnsi="David" w:hint="cs"/>
          <w:noProof w:val="0"/>
          <w:rtl/>
        </w:rPr>
        <w:t xml:space="preserve">. </w:t>
      </w:r>
      <w:r w:rsidRPr="003B696A">
        <w:rPr>
          <w:rFonts w:ascii="David" w:hAnsi="David"/>
          <w:noProof w:val="0"/>
          <w:rtl/>
        </w:rPr>
        <w:t xml:space="preserve"> ז"ל (להלן: "</w:t>
      </w:r>
      <w:r w:rsidRPr="003B696A">
        <w:rPr>
          <w:rFonts w:ascii="David" w:hAnsi="David"/>
          <w:b/>
          <w:bCs/>
          <w:noProof w:val="0"/>
          <w:rtl/>
        </w:rPr>
        <w:t>המנוחה</w:t>
      </w:r>
      <w:r w:rsidRPr="003B696A">
        <w:rPr>
          <w:rFonts w:ascii="David" w:hAnsi="David"/>
          <w:noProof w:val="0"/>
          <w:rtl/>
        </w:rPr>
        <w:t>") אשר הלכה לעולמה ביום 24.12.17.</w:t>
      </w:r>
    </w:p>
    <w:p w:rsidR="00FA7A9E" w:rsidRPr="003B696A" w:rsidRDefault="00FA7A9E" w:rsidP="007503BD">
      <w:pPr>
        <w:spacing w:line="360" w:lineRule="auto"/>
        <w:jc w:val="both"/>
        <w:rPr>
          <w:rFonts w:ascii="David" w:hAnsi="David"/>
          <w:noProof w:val="0"/>
          <w:rtl/>
        </w:rPr>
      </w:pPr>
      <w:r w:rsidRPr="003B696A">
        <w:rPr>
          <w:rFonts w:ascii="David" w:hAnsi="David"/>
          <w:noProof w:val="0"/>
          <w:rtl/>
        </w:rPr>
        <w:t xml:space="preserve">המתנגדות הן נכדותיה של המנוחה, בנותיו של בנה המנוח </w:t>
      </w:r>
      <w:r w:rsidR="007503BD">
        <w:rPr>
          <w:rFonts w:ascii="David" w:hAnsi="David" w:hint="cs"/>
          <w:noProof w:val="0"/>
          <w:rtl/>
        </w:rPr>
        <w:t xml:space="preserve">ג. </w:t>
      </w:r>
      <w:r w:rsidRPr="003B696A">
        <w:rPr>
          <w:rFonts w:ascii="David" w:hAnsi="David"/>
          <w:noProof w:val="0"/>
          <w:rtl/>
        </w:rPr>
        <w:t xml:space="preserve"> ז"ל אשר הלך לעולמו ביום  15.05.94 (להלן: "</w:t>
      </w:r>
      <w:r w:rsidR="007503BD">
        <w:rPr>
          <w:rFonts w:ascii="David" w:hAnsi="David" w:hint="cs"/>
          <w:b/>
          <w:bCs/>
          <w:noProof w:val="0"/>
          <w:rtl/>
        </w:rPr>
        <w:t xml:space="preserve">ג. </w:t>
      </w:r>
      <w:r w:rsidR="00CF53A1">
        <w:rPr>
          <w:rFonts w:ascii="David" w:hAnsi="David" w:hint="cs"/>
          <w:b/>
          <w:bCs/>
          <w:noProof w:val="0"/>
          <w:rtl/>
        </w:rPr>
        <w:t xml:space="preserve"> ז"ל</w:t>
      </w:r>
      <w:r w:rsidRPr="003B696A">
        <w:rPr>
          <w:rFonts w:ascii="David" w:hAnsi="David"/>
          <w:noProof w:val="0"/>
          <w:rtl/>
        </w:rPr>
        <w:t>").</w:t>
      </w:r>
    </w:p>
    <w:p w:rsidR="00FA7A9E" w:rsidRPr="003B696A" w:rsidRDefault="00FA7A9E" w:rsidP="00FA7A9E">
      <w:pPr>
        <w:spacing w:line="360" w:lineRule="auto"/>
        <w:jc w:val="both"/>
        <w:rPr>
          <w:rFonts w:ascii="David" w:hAnsi="David"/>
          <w:noProof w:val="0"/>
          <w:rtl/>
        </w:rPr>
      </w:pPr>
      <w:r w:rsidRPr="003B696A">
        <w:rPr>
          <w:rFonts w:ascii="David" w:hAnsi="David"/>
          <w:noProof w:val="0"/>
          <w:rtl/>
        </w:rPr>
        <w:t>התובעת היא בתה של המנוחה, דודתן של המתנגדות.</w:t>
      </w:r>
    </w:p>
    <w:p w:rsidR="00FA7A9E" w:rsidRPr="003B696A" w:rsidRDefault="00FA7A9E" w:rsidP="00FA7A9E">
      <w:pPr>
        <w:spacing w:line="360" w:lineRule="auto"/>
        <w:jc w:val="both"/>
        <w:rPr>
          <w:rFonts w:ascii="David" w:hAnsi="David"/>
          <w:noProof w:val="0"/>
          <w:rtl/>
        </w:rPr>
      </w:pPr>
      <w:r w:rsidRPr="003B696A">
        <w:rPr>
          <w:rFonts w:ascii="David" w:hAnsi="David"/>
          <w:noProof w:val="0"/>
          <w:rtl/>
        </w:rPr>
        <w:t>המשיבים הפורמליים הם ילדיה של התובעת, נכדיה של המנוחה.</w:t>
      </w:r>
    </w:p>
    <w:p w:rsidR="00FA7A9E" w:rsidRPr="003B696A" w:rsidRDefault="00FA7A9E" w:rsidP="007503BD">
      <w:pPr>
        <w:spacing w:line="360" w:lineRule="auto"/>
        <w:jc w:val="both"/>
        <w:rPr>
          <w:rFonts w:ascii="David" w:hAnsi="David"/>
          <w:noProof w:val="0"/>
          <w:rtl/>
        </w:rPr>
      </w:pPr>
      <w:r w:rsidRPr="003B696A">
        <w:rPr>
          <w:rFonts w:ascii="David" w:hAnsi="David"/>
          <w:noProof w:val="0"/>
          <w:rtl/>
        </w:rPr>
        <w:t>בעלה של המנוחה - מר מ</w:t>
      </w:r>
      <w:r w:rsidR="007503BD">
        <w:rPr>
          <w:rFonts w:ascii="David" w:hAnsi="David" w:hint="cs"/>
          <w:noProof w:val="0"/>
          <w:rtl/>
        </w:rPr>
        <w:t xml:space="preserve">.ו </w:t>
      </w:r>
      <w:r w:rsidRPr="003B696A">
        <w:rPr>
          <w:rFonts w:ascii="David" w:hAnsi="David"/>
          <w:noProof w:val="0"/>
          <w:rtl/>
        </w:rPr>
        <w:t xml:space="preserve"> ז"ל הלך לעולמו ביום </w:t>
      </w:r>
      <w:r w:rsidR="00505405">
        <w:rPr>
          <w:rFonts w:ascii="David" w:hAnsi="David"/>
          <w:noProof w:val="0"/>
          <w:rtl/>
        </w:rPr>
        <w:t>03.07.2013</w:t>
      </w:r>
      <w:r w:rsidR="00505405">
        <w:rPr>
          <w:rFonts w:ascii="David" w:hAnsi="David" w:hint="cs"/>
          <w:noProof w:val="0"/>
          <w:rtl/>
        </w:rPr>
        <w:t>. המנוח</w:t>
      </w:r>
      <w:r w:rsidRPr="003B696A">
        <w:rPr>
          <w:rFonts w:ascii="David" w:hAnsi="David"/>
          <w:noProof w:val="0"/>
          <w:rtl/>
        </w:rPr>
        <w:t xml:space="preserve"> היה אביהם של התובעת ו</w:t>
      </w:r>
      <w:r w:rsidR="007503BD">
        <w:rPr>
          <w:rFonts w:ascii="David" w:hAnsi="David" w:hint="cs"/>
          <w:noProof w:val="0"/>
          <w:rtl/>
        </w:rPr>
        <w:t xml:space="preserve">ג. </w:t>
      </w:r>
      <w:r w:rsidRPr="003B696A">
        <w:rPr>
          <w:rFonts w:ascii="David" w:hAnsi="David"/>
          <w:noProof w:val="0"/>
          <w:rtl/>
        </w:rPr>
        <w:t xml:space="preserve"> ז"ל (להלן: "</w:t>
      </w:r>
      <w:r w:rsidRPr="003B696A">
        <w:rPr>
          <w:rFonts w:ascii="David" w:hAnsi="David"/>
          <w:b/>
          <w:bCs/>
          <w:noProof w:val="0"/>
          <w:rtl/>
        </w:rPr>
        <w:t>המנוח</w:t>
      </w:r>
      <w:r w:rsidRPr="003B696A">
        <w:rPr>
          <w:rFonts w:ascii="David" w:hAnsi="David"/>
          <w:noProof w:val="0"/>
          <w:rtl/>
        </w:rPr>
        <w:t>").</w:t>
      </w:r>
    </w:p>
    <w:p w:rsidR="00FA7A9E" w:rsidRPr="003B696A" w:rsidRDefault="00FA7A9E" w:rsidP="00FA7A9E">
      <w:pPr>
        <w:spacing w:line="360" w:lineRule="auto"/>
        <w:jc w:val="both"/>
        <w:rPr>
          <w:rFonts w:ascii="David" w:hAnsi="David"/>
          <w:noProof w:val="0"/>
          <w:rtl/>
        </w:rPr>
      </w:pPr>
      <w:r w:rsidRPr="003B696A">
        <w:rPr>
          <w:rFonts w:ascii="David" w:hAnsi="David"/>
          <w:noProof w:val="0"/>
          <w:rtl/>
        </w:rPr>
        <w:t>אין חולק כי ביום 27.10.2013 ניתן ע"י רשם הירושה, צו קיום לצוואת המנוח מיום 21.09.2009.</w:t>
      </w:r>
    </w:p>
    <w:p w:rsidR="00FA7A9E" w:rsidRPr="003B696A" w:rsidRDefault="00FA7A9E" w:rsidP="00FA7A9E">
      <w:pPr>
        <w:spacing w:line="360" w:lineRule="auto"/>
        <w:jc w:val="both"/>
        <w:rPr>
          <w:rFonts w:ascii="David" w:hAnsi="David"/>
          <w:noProof w:val="0"/>
          <w:rtl/>
        </w:rPr>
      </w:pPr>
    </w:p>
    <w:p w:rsidR="00FA7A9E" w:rsidRPr="003B696A" w:rsidRDefault="00FA7A9E" w:rsidP="00FA7A9E">
      <w:pPr>
        <w:spacing w:line="360" w:lineRule="auto"/>
        <w:jc w:val="both"/>
        <w:rPr>
          <w:rFonts w:ascii="David" w:hAnsi="David"/>
          <w:noProof w:val="0"/>
          <w:rtl/>
        </w:rPr>
      </w:pPr>
      <w:r w:rsidRPr="003B696A">
        <w:rPr>
          <w:rFonts w:ascii="David" w:hAnsi="David"/>
          <w:noProof w:val="0"/>
          <w:rtl/>
        </w:rPr>
        <w:t>התובעת הגישה לקיום את צוואת המנוחה מיום 10.05.2012 (להלן: "</w:t>
      </w:r>
      <w:r w:rsidR="00CB5D52">
        <w:rPr>
          <w:rFonts w:ascii="David" w:hAnsi="David" w:hint="cs"/>
          <w:b/>
          <w:bCs/>
          <w:noProof w:val="0"/>
          <w:rtl/>
        </w:rPr>
        <w:t xml:space="preserve">צוואת 2012" </w:t>
      </w:r>
      <w:r w:rsidR="00CB5D52" w:rsidRPr="00CB5D52">
        <w:rPr>
          <w:rFonts w:ascii="David" w:hAnsi="David" w:hint="cs"/>
          <w:noProof w:val="0"/>
          <w:rtl/>
        </w:rPr>
        <w:t>או</w:t>
      </w:r>
      <w:r w:rsidR="00CB5D52">
        <w:rPr>
          <w:rFonts w:ascii="David" w:hAnsi="David" w:hint="cs"/>
          <w:b/>
          <w:bCs/>
          <w:noProof w:val="0"/>
          <w:rtl/>
        </w:rPr>
        <w:t xml:space="preserve"> "</w:t>
      </w:r>
      <w:r w:rsidRPr="003B696A">
        <w:rPr>
          <w:rFonts w:ascii="David" w:hAnsi="David"/>
          <w:b/>
          <w:bCs/>
          <w:noProof w:val="0"/>
          <w:rtl/>
        </w:rPr>
        <w:t>הצוואה אחרונה</w:t>
      </w:r>
      <w:r w:rsidRPr="003B696A">
        <w:rPr>
          <w:rFonts w:ascii="David" w:hAnsi="David"/>
          <w:noProof w:val="0"/>
          <w:rtl/>
        </w:rPr>
        <w:t>");</w:t>
      </w:r>
    </w:p>
    <w:p w:rsidR="00FA7A9E" w:rsidRPr="003B696A" w:rsidRDefault="00505405" w:rsidP="00505405">
      <w:pPr>
        <w:spacing w:line="360" w:lineRule="auto"/>
        <w:jc w:val="both"/>
        <w:rPr>
          <w:rFonts w:ascii="David" w:hAnsi="David"/>
          <w:noProof w:val="0"/>
          <w:rtl/>
        </w:rPr>
      </w:pPr>
      <w:r>
        <w:rPr>
          <w:rFonts w:ascii="David" w:hAnsi="David" w:hint="cs"/>
          <w:noProof w:val="0"/>
          <w:rtl/>
        </w:rPr>
        <w:t xml:space="preserve">תחילה הגישו </w:t>
      </w:r>
      <w:r w:rsidR="00FA7A9E" w:rsidRPr="003B696A">
        <w:rPr>
          <w:rFonts w:ascii="David" w:hAnsi="David"/>
          <w:noProof w:val="0"/>
          <w:rtl/>
        </w:rPr>
        <w:t>המתנגדות לקיום את צוואת המנוחה מיום 01.06.96  (להלן: "</w:t>
      </w:r>
      <w:r w:rsidR="00FA7A9E" w:rsidRPr="003B696A">
        <w:rPr>
          <w:rFonts w:ascii="David" w:hAnsi="David"/>
          <w:b/>
          <w:bCs/>
          <w:noProof w:val="0"/>
          <w:rtl/>
        </w:rPr>
        <w:t>צוואת 1996</w:t>
      </w:r>
      <w:r w:rsidR="00FA7A9E" w:rsidRPr="003B696A">
        <w:rPr>
          <w:rFonts w:ascii="David" w:hAnsi="David"/>
          <w:noProof w:val="0"/>
          <w:rtl/>
        </w:rPr>
        <w:t>") ולקראת תום ההליכים, הגישו לקיום את צוואת המנוחה מיום 21.09.2009 (להלן: "</w:t>
      </w:r>
      <w:r w:rsidR="00FA7A9E" w:rsidRPr="003B696A">
        <w:rPr>
          <w:rFonts w:ascii="David" w:hAnsi="David"/>
          <w:b/>
          <w:bCs/>
          <w:noProof w:val="0"/>
          <w:rtl/>
        </w:rPr>
        <w:t>צוואת 2009</w:t>
      </w:r>
      <w:r w:rsidR="00FA7A9E" w:rsidRPr="003B696A">
        <w:rPr>
          <w:rFonts w:ascii="David" w:hAnsi="David"/>
          <w:noProof w:val="0"/>
          <w:rtl/>
        </w:rPr>
        <w:t>").</w:t>
      </w:r>
    </w:p>
    <w:p w:rsidR="00FA7A9E" w:rsidRPr="003B696A" w:rsidRDefault="00FA7A9E" w:rsidP="00FA7A9E">
      <w:pPr>
        <w:spacing w:line="360" w:lineRule="auto"/>
        <w:jc w:val="both"/>
        <w:rPr>
          <w:rFonts w:ascii="David" w:hAnsi="David"/>
          <w:noProof w:val="0"/>
          <w:rtl/>
        </w:rPr>
      </w:pPr>
    </w:p>
    <w:p w:rsidR="00CF53A1" w:rsidRDefault="00CF53A1" w:rsidP="00CF53A1">
      <w:pPr>
        <w:spacing w:line="360" w:lineRule="auto"/>
        <w:jc w:val="both"/>
        <w:rPr>
          <w:rFonts w:ascii="David" w:hAnsi="David"/>
          <w:noProof w:val="0"/>
          <w:rtl/>
        </w:rPr>
      </w:pPr>
      <w:r>
        <w:rPr>
          <w:rFonts w:ascii="David" w:hAnsi="David" w:hint="cs"/>
          <w:noProof w:val="0"/>
          <w:rtl/>
        </w:rPr>
        <w:t xml:space="preserve">לטענת </w:t>
      </w:r>
      <w:r w:rsidR="00FA7A9E" w:rsidRPr="003B696A">
        <w:rPr>
          <w:rFonts w:ascii="David" w:hAnsi="David"/>
          <w:noProof w:val="0"/>
          <w:rtl/>
        </w:rPr>
        <w:t>המתנגדות</w:t>
      </w:r>
      <w:r>
        <w:rPr>
          <w:rFonts w:ascii="David" w:hAnsi="David" w:hint="cs"/>
          <w:noProof w:val="0"/>
          <w:rtl/>
        </w:rPr>
        <w:t>,</w:t>
      </w:r>
      <w:r w:rsidR="00FA7A9E" w:rsidRPr="003B696A">
        <w:rPr>
          <w:rFonts w:ascii="David" w:hAnsi="David"/>
          <w:noProof w:val="0"/>
          <w:rtl/>
        </w:rPr>
        <w:t xml:space="preserve"> </w:t>
      </w:r>
      <w:r>
        <w:rPr>
          <w:rFonts w:ascii="David" w:hAnsi="David" w:hint="cs"/>
          <w:noProof w:val="0"/>
          <w:rtl/>
        </w:rPr>
        <w:t>הצוואות שערכו המנוחים ב-1996 וב-2009 הינן צוואות הדדיות, שכן המנוחים ערכו, כ"א מהם בנפרד, צוואה הזהה לזו של האחר.</w:t>
      </w:r>
    </w:p>
    <w:p w:rsidR="00A33955" w:rsidRPr="00A33955" w:rsidRDefault="00A33955" w:rsidP="00FA7A9E">
      <w:pPr>
        <w:spacing w:line="360" w:lineRule="auto"/>
        <w:jc w:val="both"/>
        <w:rPr>
          <w:rFonts w:ascii="David" w:hAnsi="David"/>
          <w:noProof w:val="0"/>
          <w:rtl/>
        </w:rPr>
      </w:pPr>
      <w:r w:rsidRPr="00A33955">
        <w:rPr>
          <w:rFonts w:ascii="David" w:hAnsi="David" w:hint="cs"/>
          <w:noProof w:val="0"/>
          <w:rtl/>
        </w:rPr>
        <w:t>צוואת המנוח מ-2009 קוימה וכאמור לעיל.</w:t>
      </w:r>
    </w:p>
    <w:p w:rsidR="00A33955" w:rsidRDefault="00A33955" w:rsidP="00FA7A9E">
      <w:pPr>
        <w:spacing w:line="360" w:lineRule="auto"/>
        <w:jc w:val="both"/>
        <w:rPr>
          <w:rFonts w:ascii="David" w:hAnsi="David"/>
          <w:b/>
          <w:bCs/>
          <w:noProof w:val="0"/>
          <w:u w:val="single"/>
          <w:rtl/>
        </w:rPr>
      </w:pPr>
    </w:p>
    <w:p w:rsidR="00FA7A9E" w:rsidRPr="003B696A" w:rsidRDefault="00FA7A9E" w:rsidP="00FA7A9E">
      <w:pPr>
        <w:spacing w:line="360" w:lineRule="auto"/>
        <w:jc w:val="both"/>
        <w:rPr>
          <w:rFonts w:ascii="David" w:hAnsi="David"/>
          <w:b/>
          <w:bCs/>
          <w:noProof w:val="0"/>
          <w:u w:val="single"/>
          <w:rtl/>
        </w:rPr>
      </w:pPr>
      <w:r w:rsidRPr="003B696A">
        <w:rPr>
          <w:rFonts w:ascii="David" w:hAnsi="David"/>
          <w:b/>
          <w:bCs/>
          <w:noProof w:val="0"/>
          <w:u w:val="single"/>
          <w:rtl/>
        </w:rPr>
        <w:lastRenderedPageBreak/>
        <w:t>טענות המתנגדות</w:t>
      </w:r>
    </w:p>
    <w:p w:rsidR="00FA7A9E" w:rsidRPr="003B696A" w:rsidRDefault="00FA7A9E" w:rsidP="00FA7A9E">
      <w:pPr>
        <w:spacing w:line="360" w:lineRule="auto"/>
        <w:jc w:val="both"/>
        <w:rPr>
          <w:rFonts w:ascii="David" w:hAnsi="David"/>
          <w:noProof w:val="0"/>
          <w:rtl/>
        </w:rPr>
      </w:pPr>
    </w:p>
    <w:p w:rsidR="00FA7A9E" w:rsidRPr="003B696A" w:rsidRDefault="007503BD" w:rsidP="00A33955">
      <w:pPr>
        <w:pStyle w:val="ad"/>
        <w:numPr>
          <w:ilvl w:val="0"/>
          <w:numId w:val="3"/>
        </w:numPr>
        <w:spacing w:line="360" w:lineRule="auto"/>
        <w:ind w:left="283" w:hanging="283"/>
        <w:jc w:val="both"/>
        <w:rPr>
          <w:rFonts w:ascii="David" w:hAnsi="David" w:cs="David"/>
          <w:sz w:val="24"/>
          <w:szCs w:val="24"/>
        </w:rPr>
      </w:pPr>
      <w:r>
        <w:rPr>
          <w:rFonts w:ascii="David" w:hAnsi="David" w:cs="David"/>
          <w:sz w:val="24"/>
          <w:szCs w:val="24"/>
          <w:rtl/>
        </w:rPr>
        <w:t>ג.</w:t>
      </w:r>
      <w:r w:rsidR="00A33955">
        <w:rPr>
          <w:rFonts w:ascii="David" w:hAnsi="David" w:cs="David" w:hint="cs"/>
          <w:sz w:val="24"/>
          <w:szCs w:val="24"/>
          <w:rtl/>
        </w:rPr>
        <w:t xml:space="preserve"> ז"ל,</w:t>
      </w:r>
      <w:r w:rsidR="00FA7A9E" w:rsidRPr="003B696A">
        <w:rPr>
          <w:rFonts w:ascii="David" w:hAnsi="David" w:cs="David"/>
          <w:sz w:val="24"/>
          <w:szCs w:val="24"/>
          <w:rtl/>
        </w:rPr>
        <w:t xml:space="preserve"> אביהן של המתנגדות, הלך לעולמו בנסיבות טראגיות כאשר המתנגדות היו ילדות רכות בשנים. </w:t>
      </w:r>
      <w:r w:rsidR="00A33955">
        <w:rPr>
          <w:rFonts w:ascii="David" w:hAnsi="David" w:cs="David" w:hint="cs"/>
          <w:sz w:val="24"/>
          <w:szCs w:val="24"/>
          <w:rtl/>
        </w:rPr>
        <w:t xml:space="preserve">נוכח האמור  </w:t>
      </w:r>
      <w:r w:rsidR="00FA7A9E" w:rsidRPr="003B696A">
        <w:rPr>
          <w:rFonts w:ascii="David" w:hAnsi="David" w:cs="David"/>
          <w:sz w:val="24"/>
          <w:szCs w:val="24"/>
          <w:rtl/>
        </w:rPr>
        <w:t>עברו המנוחים להתגורר ברחוב בו התגוררו המתנגדות ואמן</w:t>
      </w:r>
      <w:r w:rsidR="00A33955">
        <w:rPr>
          <w:rFonts w:ascii="David" w:hAnsi="David" w:cs="David" w:hint="cs"/>
          <w:sz w:val="24"/>
          <w:szCs w:val="24"/>
          <w:rtl/>
        </w:rPr>
        <w:t xml:space="preserve"> ונוצר בין המנוחים למתנגדות קשר </w:t>
      </w:r>
      <w:r w:rsidR="00FA7A9E" w:rsidRPr="003B696A">
        <w:rPr>
          <w:rFonts w:ascii="David" w:hAnsi="David" w:cs="David"/>
          <w:sz w:val="24"/>
          <w:szCs w:val="24"/>
          <w:rtl/>
        </w:rPr>
        <w:t xml:space="preserve">קרוב </w:t>
      </w:r>
      <w:r w:rsidR="00A33955">
        <w:rPr>
          <w:rFonts w:ascii="David" w:hAnsi="David" w:cs="David" w:hint="cs"/>
          <w:sz w:val="24"/>
          <w:szCs w:val="24"/>
          <w:rtl/>
        </w:rPr>
        <w:t>ב</w:t>
      </w:r>
      <w:r w:rsidR="00FA7A9E" w:rsidRPr="003B696A">
        <w:rPr>
          <w:rFonts w:ascii="David" w:hAnsi="David" w:cs="David"/>
          <w:sz w:val="24"/>
          <w:szCs w:val="24"/>
          <w:rtl/>
        </w:rPr>
        <w:t>הרבה</w:t>
      </w:r>
      <w:r w:rsidR="00A33955">
        <w:rPr>
          <w:rFonts w:ascii="David" w:hAnsi="David" w:cs="David" w:hint="cs"/>
          <w:sz w:val="24"/>
          <w:szCs w:val="24"/>
          <w:rtl/>
        </w:rPr>
        <w:t xml:space="preserve"> מ</w:t>
      </w:r>
      <w:r w:rsidR="00FA7A9E" w:rsidRPr="003B696A">
        <w:rPr>
          <w:rFonts w:ascii="David" w:hAnsi="David" w:cs="David"/>
          <w:sz w:val="24"/>
          <w:szCs w:val="24"/>
          <w:rtl/>
        </w:rPr>
        <w:t>המקובל-  מדי יום ד' היו המתנגדות אוכלות בבית המנוחים, נהגו לבקרם מדי סופ"ש ולעיתים קרובות אף נשארו ללון בביתם. לאורך כל שנות ילדותן של המתנגדות ועד לפטירתם של המנוחים- היו המתנגדות קרובות אליהם קרבת נפש, אהבו אותם והקפידו לבלות עימם ולסייע להם ככל שיכלו בהתחשב בגילן הצעיר ובנסיבות חייהן הקשות. גם המנוחים אהבו את המ</w:t>
      </w:r>
      <w:r w:rsidR="00CE6B56">
        <w:rPr>
          <w:rFonts w:ascii="David" w:hAnsi="David" w:cs="David"/>
          <w:sz w:val="24"/>
          <w:szCs w:val="24"/>
          <w:rtl/>
        </w:rPr>
        <w:t>תנגדות אהבה עזה והיו ק</w:t>
      </w:r>
      <w:r w:rsidR="00FA7A9E" w:rsidRPr="003B696A">
        <w:rPr>
          <w:rFonts w:ascii="David" w:hAnsi="David" w:cs="David"/>
          <w:sz w:val="24"/>
          <w:szCs w:val="24"/>
          <w:rtl/>
        </w:rPr>
        <w:t>ש</w:t>
      </w:r>
      <w:r w:rsidR="00CE6B56">
        <w:rPr>
          <w:rFonts w:ascii="David" w:hAnsi="David" w:cs="David" w:hint="cs"/>
          <w:sz w:val="24"/>
          <w:szCs w:val="24"/>
          <w:rtl/>
        </w:rPr>
        <w:t>ו</w:t>
      </w:r>
      <w:r w:rsidR="00FA7A9E" w:rsidRPr="003B696A">
        <w:rPr>
          <w:rFonts w:ascii="David" w:hAnsi="David" w:cs="David"/>
          <w:sz w:val="24"/>
          <w:szCs w:val="24"/>
          <w:rtl/>
        </w:rPr>
        <w:t xml:space="preserve">רים אליהן </w:t>
      </w:r>
      <w:r w:rsidR="00CE6B56">
        <w:rPr>
          <w:rFonts w:ascii="David" w:hAnsi="David" w:cs="David" w:hint="cs"/>
          <w:sz w:val="24"/>
          <w:szCs w:val="24"/>
          <w:rtl/>
        </w:rPr>
        <w:t xml:space="preserve">גם נוכח </w:t>
      </w:r>
      <w:r w:rsidR="00FA7A9E" w:rsidRPr="003B696A">
        <w:rPr>
          <w:rFonts w:ascii="David" w:hAnsi="David" w:cs="David"/>
          <w:sz w:val="24"/>
          <w:szCs w:val="24"/>
          <w:rtl/>
        </w:rPr>
        <w:t xml:space="preserve"> היותן זכר אחרון לבנם האהוב.</w:t>
      </w:r>
    </w:p>
    <w:p w:rsidR="00FA7A9E" w:rsidRPr="003B696A" w:rsidRDefault="00FA7A9E" w:rsidP="00FA7A9E">
      <w:pPr>
        <w:pStyle w:val="ad"/>
        <w:spacing w:line="360" w:lineRule="auto"/>
        <w:ind w:left="283"/>
        <w:jc w:val="both"/>
        <w:rPr>
          <w:rFonts w:ascii="David" w:hAnsi="David" w:cs="David"/>
          <w:sz w:val="24"/>
          <w:szCs w:val="24"/>
        </w:rPr>
      </w:pPr>
    </w:p>
    <w:p w:rsidR="00FA7A9E" w:rsidRPr="003B696A" w:rsidRDefault="00FA7A9E" w:rsidP="00FA7A9E">
      <w:pPr>
        <w:pStyle w:val="ad"/>
        <w:numPr>
          <w:ilvl w:val="0"/>
          <w:numId w:val="3"/>
        </w:numPr>
        <w:spacing w:line="360" w:lineRule="auto"/>
        <w:ind w:left="283" w:hanging="283"/>
        <w:jc w:val="both"/>
        <w:rPr>
          <w:rFonts w:ascii="David" w:hAnsi="David" w:cs="David"/>
          <w:sz w:val="24"/>
          <w:szCs w:val="24"/>
          <w:rtl/>
        </w:rPr>
      </w:pPr>
      <w:r w:rsidRPr="003B696A">
        <w:rPr>
          <w:rFonts w:ascii="David" w:hAnsi="David" w:cs="David"/>
          <w:sz w:val="24"/>
          <w:szCs w:val="24"/>
          <w:rtl/>
        </w:rPr>
        <w:t xml:space="preserve">לטענת המתנגדות, ביום 01.06.1996, כשנתיים לאחר פטירתו של </w:t>
      </w:r>
      <w:r w:rsidR="007503BD">
        <w:rPr>
          <w:rFonts w:ascii="David" w:hAnsi="David" w:cs="David"/>
          <w:sz w:val="24"/>
          <w:szCs w:val="24"/>
          <w:rtl/>
        </w:rPr>
        <w:t>ג.</w:t>
      </w:r>
      <w:r w:rsidRPr="003B696A">
        <w:rPr>
          <w:rFonts w:ascii="David" w:hAnsi="David" w:cs="David"/>
          <w:sz w:val="24"/>
          <w:szCs w:val="24"/>
          <w:rtl/>
        </w:rPr>
        <w:t xml:space="preserve"> ז"ל, ערכו המנוחים צוואות משותפות והדדיות, במסגרתן ציוו המנוחים את כל רכושם זה לזו, והיה מי מהם לא יהיה בין החיים- לארבעת נכדיהם בחלקים שווים: המתנגדות ושני המשיבים הפורמליים (הם ילדיה של התובעת) (להלן:" </w:t>
      </w:r>
      <w:r w:rsidRPr="003B696A">
        <w:rPr>
          <w:rFonts w:ascii="David" w:hAnsi="David" w:cs="David"/>
          <w:b/>
          <w:bCs/>
          <w:sz w:val="24"/>
          <w:szCs w:val="24"/>
          <w:rtl/>
        </w:rPr>
        <w:t>צוואת 1996"</w:t>
      </w:r>
      <w:r w:rsidRPr="003B696A">
        <w:rPr>
          <w:rFonts w:ascii="David" w:hAnsi="David" w:cs="David"/>
          <w:sz w:val="24"/>
          <w:szCs w:val="24"/>
          <w:rtl/>
        </w:rPr>
        <w:t>)</w:t>
      </w:r>
    </w:p>
    <w:p w:rsidR="00FA7A9E" w:rsidRPr="003B696A" w:rsidRDefault="00FA7A9E" w:rsidP="00FA7A9E">
      <w:pPr>
        <w:spacing w:line="360" w:lineRule="auto"/>
        <w:ind w:left="283"/>
        <w:jc w:val="both"/>
        <w:rPr>
          <w:rFonts w:ascii="David" w:hAnsi="David"/>
          <w:noProof w:val="0"/>
          <w:rtl/>
        </w:rPr>
      </w:pPr>
      <w:r w:rsidRPr="003B696A">
        <w:rPr>
          <w:rFonts w:ascii="David" w:hAnsi="David"/>
          <w:noProof w:val="0"/>
          <w:rtl/>
        </w:rPr>
        <w:t xml:space="preserve">להלן עותק מצוואת המנוחה משנת 1996: </w:t>
      </w:r>
    </w:p>
    <w:p w:rsidR="00FA7A9E" w:rsidRPr="003B696A" w:rsidRDefault="00FA7A9E" w:rsidP="00FA7A9E">
      <w:pPr>
        <w:spacing w:line="360" w:lineRule="auto"/>
        <w:jc w:val="both"/>
        <w:rPr>
          <w:rFonts w:ascii="David" w:hAnsi="David"/>
          <w:noProof w:val="0"/>
        </w:rPr>
      </w:pPr>
    </w:p>
    <w:p w:rsidR="00FA7A9E" w:rsidRPr="003B696A" w:rsidRDefault="00FA7A9E" w:rsidP="00FA7A9E">
      <w:pPr>
        <w:spacing w:line="360" w:lineRule="auto"/>
        <w:jc w:val="both"/>
        <w:rPr>
          <w:rFonts w:ascii="David" w:hAnsi="David"/>
        </w:rPr>
      </w:pPr>
    </w:p>
    <w:p w:rsidR="00FA7A9E" w:rsidRPr="003B696A" w:rsidRDefault="00FA7A9E" w:rsidP="00FA7A9E">
      <w:pPr>
        <w:spacing w:line="360" w:lineRule="auto"/>
        <w:jc w:val="both"/>
        <w:rPr>
          <w:rFonts w:ascii="David" w:hAnsi="David"/>
          <w:noProof w:val="0"/>
        </w:rPr>
      </w:pPr>
    </w:p>
    <w:p w:rsidR="00FA7A9E" w:rsidRPr="003B696A" w:rsidRDefault="00FA7A9E" w:rsidP="00FA7A9E">
      <w:pPr>
        <w:spacing w:line="360" w:lineRule="auto"/>
        <w:jc w:val="both"/>
        <w:rPr>
          <w:rFonts w:ascii="David" w:hAnsi="David"/>
        </w:rPr>
      </w:pPr>
    </w:p>
    <w:p w:rsidR="00FA7A9E" w:rsidRPr="003B696A" w:rsidRDefault="00FA7A9E" w:rsidP="00CE6B56">
      <w:pPr>
        <w:spacing w:line="360" w:lineRule="auto"/>
        <w:ind w:left="283"/>
        <w:jc w:val="both"/>
        <w:rPr>
          <w:rFonts w:ascii="David" w:hAnsi="David"/>
          <w:noProof w:val="0"/>
          <w:rtl/>
        </w:rPr>
      </w:pPr>
      <w:r w:rsidRPr="003B696A">
        <w:rPr>
          <w:rFonts w:ascii="David" w:hAnsi="David"/>
          <w:noProof w:val="0"/>
          <w:rtl/>
        </w:rPr>
        <w:t xml:space="preserve">לטענת המתנגדות, צוואת 1996 מבטאת את רצונם המשותף של המנוחים כי המתנגדות יבואו בנעליו של בנם האהוב </w:t>
      </w:r>
      <w:r w:rsidR="007503BD">
        <w:rPr>
          <w:rFonts w:ascii="David" w:hAnsi="David"/>
          <w:noProof w:val="0"/>
          <w:rtl/>
        </w:rPr>
        <w:t>ג.</w:t>
      </w:r>
      <w:r w:rsidRPr="003B696A">
        <w:rPr>
          <w:rFonts w:ascii="David" w:hAnsi="David"/>
          <w:noProof w:val="0"/>
          <w:rtl/>
        </w:rPr>
        <w:t xml:space="preserve"> ז"ל </w:t>
      </w:r>
      <w:r w:rsidR="00CE6B56">
        <w:rPr>
          <w:rFonts w:ascii="David" w:hAnsi="David" w:hint="cs"/>
          <w:noProof w:val="0"/>
          <w:rtl/>
        </w:rPr>
        <w:t>כזוכות בחלק מעזבונם.</w:t>
      </w:r>
    </w:p>
    <w:p w:rsidR="00FA7A9E" w:rsidRPr="003B696A" w:rsidRDefault="00FA7A9E" w:rsidP="00FA7A9E">
      <w:pPr>
        <w:spacing w:line="360" w:lineRule="auto"/>
        <w:ind w:left="283"/>
        <w:jc w:val="both"/>
        <w:rPr>
          <w:rFonts w:ascii="David" w:hAnsi="David"/>
          <w:noProof w:val="0"/>
          <w:rtl/>
        </w:rPr>
      </w:pPr>
    </w:p>
    <w:p w:rsidR="00FA7A9E" w:rsidRPr="003B696A" w:rsidRDefault="00FA7A9E" w:rsidP="00CE6B56">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לטענת המתנגדות, ביום 21.09.2009 אישרו המנוחים את רצונם המשותף בצוואות משותפות והדדיות נוספות אשר השוני המהותי היחיד בינן לבין צוואת 1996 נגע לזהות מנהל עזבונם. </w:t>
      </w:r>
    </w:p>
    <w:p w:rsidR="00FA7A9E" w:rsidRPr="003B696A" w:rsidRDefault="00FA7A9E" w:rsidP="00A33955">
      <w:pPr>
        <w:pStyle w:val="ad"/>
        <w:spacing w:line="360" w:lineRule="auto"/>
        <w:ind w:left="283"/>
        <w:jc w:val="both"/>
        <w:rPr>
          <w:rFonts w:ascii="David" w:hAnsi="David" w:cs="David"/>
          <w:sz w:val="24"/>
          <w:szCs w:val="24"/>
          <w:rtl/>
        </w:rPr>
      </w:pPr>
      <w:r w:rsidRPr="003B696A">
        <w:rPr>
          <w:rFonts w:ascii="David" w:hAnsi="David" w:cs="David"/>
          <w:sz w:val="24"/>
          <w:szCs w:val="24"/>
          <w:rtl/>
        </w:rPr>
        <w:t>בצוואת 2009 ,</w:t>
      </w:r>
      <w:r w:rsidR="00A33955">
        <w:rPr>
          <w:rFonts w:ascii="David" w:hAnsi="David" w:cs="David" w:hint="cs"/>
          <w:sz w:val="24"/>
          <w:szCs w:val="24"/>
          <w:rtl/>
        </w:rPr>
        <w:t xml:space="preserve">אותה </w:t>
      </w:r>
      <w:r w:rsidRPr="003B696A">
        <w:rPr>
          <w:rFonts w:ascii="David" w:hAnsi="David" w:cs="David"/>
          <w:sz w:val="24"/>
          <w:szCs w:val="24"/>
          <w:rtl/>
        </w:rPr>
        <w:t xml:space="preserve"> ערך עוה"ד אהוד הוברמן, ביטלו המנוחים את מינויו של עוה"ד שלום טובי למנהל עזבונם ומינו את התובעת תחתיו. </w:t>
      </w:r>
    </w:p>
    <w:p w:rsidR="00FA7A9E" w:rsidRPr="003B696A" w:rsidRDefault="00FA7A9E" w:rsidP="00FA7A9E">
      <w:pPr>
        <w:pStyle w:val="ad"/>
        <w:spacing w:line="360" w:lineRule="auto"/>
        <w:ind w:left="283"/>
        <w:jc w:val="both"/>
        <w:rPr>
          <w:rFonts w:ascii="David" w:hAnsi="David" w:cs="David"/>
          <w:sz w:val="24"/>
          <w:szCs w:val="24"/>
          <w:rtl/>
        </w:rPr>
      </w:pPr>
      <w:r w:rsidRPr="003B696A">
        <w:rPr>
          <w:rFonts w:ascii="David" w:hAnsi="David" w:cs="David"/>
          <w:sz w:val="24"/>
          <w:szCs w:val="24"/>
          <w:rtl/>
        </w:rPr>
        <w:t xml:space="preserve">מעבר לשינוי זה הוראות שתי הצוואות דומות ובשתיהן הוראת יורש במקום יורש ולפיה כל אחד מהמנוחים מצווה את עזבונו לבן/בת זוגו, ובמקרה בו לא יהיה בן/בת הזוג בין החיים, מצווים המנוחים את עזבונם לארבעת נכדיהם. </w:t>
      </w:r>
    </w:p>
    <w:p w:rsidR="00FA7A9E" w:rsidRPr="003B696A" w:rsidRDefault="00FA7A9E" w:rsidP="00FA7A9E">
      <w:pPr>
        <w:pStyle w:val="ad"/>
        <w:spacing w:line="360" w:lineRule="auto"/>
        <w:ind w:left="283"/>
        <w:jc w:val="both"/>
        <w:rPr>
          <w:rFonts w:ascii="David" w:hAnsi="David" w:cs="David"/>
          <w:sz w:val="24"/>
          <w:szCs w:val="24"/>
        </w:rPr>
      </w:pPr>
    </w:p>
    <w:p w:rsidR="00FA7A9E" w:rsidRPr="003B696A" w:rsidRDefault="00FA7A9E" w:rsidP="00FA7A9E">
      <w:pPr>
        <w:pStyle w:val="ad"/>
        <w:spacing w:line="360" w:lineRule="auto"/>
        <w:ind w:left="283"/>
        <w:jc w:val="both"/>
        <w:rPr>
          <w:rFonts w:ascii="David" w:hAnsi="David" w:cs="David"/>
          <w:sz w:val="24"/>
          <w:szCs w:val="24"/>
          <w:rtl/>
        </w:rPr>
      </w:pPr>
      <w:r w:rsidRPr="003B696A">
        <w:rPr>
          <w:rFonts w:ascii="David" w:hAnsi="David" w:cs="David"/>
          <w:sz w:val="24"/>
          <w:szCs w:val="24"/>
          <w:rtl/>
        </w:rPr>
        <w:t xml:space="preserve">להלן עותק צוואת המנוחה משנת 2009 : </w:t>
      </w:r>
    </w:p>
    <w:p w:rsidR="00FA7A9E" w:rsidRPr="003B696A" w:rsidRDefault="00FA7A9E" w:rsidP="00FA7A9E">
      <w:pPr>
        <w:spacing w:line="360" w:lineRule="auto"/>
        <w:jc w:val="both"/>
        <w:rPr>
          <w:rFonts w:ascii="David" w:hAnsi="David"/>
          <w:noProof w:val="0"/>
        </w:rPr>
      </w:pPr>
    </w:p>
    <w:p w:rsidR="00FA7A9E" w:rsidRPr="003B696A" w:rsidRDefault="00FA7A9E" w:rsidP="00FA7A9E">
      <w:pPr>
        <w:spacing w:line="360" w:lineRule="auto"/>
        <w:jc w:val="both"/>
        <w:rPr>
          <w:rFonts w:ascii="David" w:hAnsi="David"/>
          <w:noProof w:val="0"/>
        </w:rPr>
      </w:pPr>
    </w:p>
    <w:p w:rsidR="00FA7A9E" w:rsidRPr="003B696A" w:rsidRDefault="00FA7A9E" w:rsidP="00FA7A9E">
      <w:pPr>
        <w:spacing w:line="360" w:lineRule="auto"/>
        <w:jc w:val="both"/>
        <w:rPr>
          <w:rFonts w:ascii="David" w:hAnsi="David"/>
        </w:rPr>
      </w:pPr>
    </w:p>
    <w:p w:rsidR="00FA7A9E" w:rsidRPr="003B696A" w:rsidRDefault="00FA7A9E" w:rsidP="00FA7A9E">
      <w:pPr>
        <w:spacing w:line="360" w:lineRule="auto"/>
        <w:jc w:val="both"/>
        <w:rPr>
          <w:rFonts w:ascii="David" w:hAnsi="David"/>
          <w:rtl/>
        </w:rPr>
      </w:pPr>
    </w:p>
    <w:p w:rsidR="00FA7A9E" w:rsidRPr="003B696A" w:rsidRDefault="00A33955" w:rsidP="00A33955">
      <w:pPr>
        <w:pStyle w:val="ad"/>
        <w:numPr>
          <w:ilvl w:val="0"/>
          <w:numId w:val="3"/>
        </w:numPr>
        <w:spacing w:line="360" w:lineRule="auto"/>
        <w:ind w:left="283" w:hanging="283"/>
        <w:jc w:val="both"/>
        <w:rPr>
          <w:rFonts w:ascii="David" w:hAnsi="David" w:cs="David"/>
          <w:sz w:val="24"/>
          <w:szCs w:val="24"/>
        </w:rPr>
      </w:pPr>
      <w:r>
        <w:rPr>
          <w:rFonts w:ascii="David" w:hAnsi="David" w:cs="David" w:hint="cs"/>
          <w:sz w:val="24"/>
          <w:szCs w:val="24"/>
          <w:rtl/>
        </w:rPr>
        <w:t xml:space="preserve">המנוח הלך לעולמו </w:t>
      </w:r>
      <w:r w:rsidR="00FA7A9E" w:rsidRPr="003B696A">
        <w:rPr>
          <w:rFonts w:ascii="David" w:hAnsi="David" w:cs="David"/>
          <w:sz w:val="24"/>
          <w:szCs w:val="24"/>
          <w:rtl/>
        </w:rPr>
        <w:t>ביום 03.07.2013</w:t>
      </w:r>
      <w:r>
        <w:rPr>
          <w:rFonts w:ascii="David" w:hAnsi="David" w:cs="David" w:hint="cs"/>
          <w:sz w:val="24"/>
          <w:szCs w:val="24"/>
          <w:rtl/>
        </w:rPr>
        <w:t>;</w:t>
      </w:r>
      <w:r w:rsidR="00FA7A9E" w:rsidRPr="003B696A">
        <w:rPr>
          <w:rFonts w:ascii="David" w:hAnsi="David" w:cs="David"/>
          <w:sz w:val="24"/>
          <w:szCs w:val="24"/>
          <w:rtl/>
        </w:rPr>
        <w:t xml:space="preserve"> </w:t>
      </w:r>
      <w:r>
        <w:rPr>
          <w:rFonts w:ascii="David" w:hAnsi="David" w:cs="David" w:hint="cs"/>
          <w:sz w:val="24"/>
          <w:szCs w:val="24"/>
          <w:rtl/>
        </w:rPr>
        <w:t xml:space="preserve"> צוואת המנוח מ-2009 האמורה לעיל קוימה </w:t>
      </w:r>
      <w:r w:rsidR="00FA7A9E" w:rsidRPr="003B696A">
        <w:rPr>
          <w:rFonts w:ascii="David" w:hAnsi="David" w:cs="David"/>
          <w:sz w:val="24"/>
          <w:szCs w:val="24"/>
          <w:rtl/>
        </w:rPr>
        <w:t>ביום 27.10.2023</w:t>
      </w:r>
      <w:r>
        <w:rPr>
          <w:rFonts w:ascii="David" w:hAnsi="David" w:cs="David" w:hint="cs"/>
          <w:sz w:val="24"/>
          <w:szCs w:val="24"/>
          <w:rtl/>
        </w:rPr>
        <w:t>.</w:t>
      </w:r>
      <w:r w:rsidR="00FA7A9E" w:rsidRPr="003B696A">
        <w:rPr>
          <w:rFonts w:ascii="David" w:hAnsi="David" w:cs="David"/>
          <w:sz w:val="24"/>
          <w:szCs w:val="24"/>
          <w:rtl/>
        </w:rPr>
        <w:t xml:space="preserve"> </w:t>
      </w:r>
    </w:p>
    <w:p w:rsidR="00FA7A9E" w:rsidRPr="003B696A" w:rsidRDefault="00FA7A9E" w:rsidP="00FA7A9E">
      <w:pPr>
        <w:pStyle w:val="ad"/>
        <w:spacing w:line="360" w:lineRule="auto"/>
        <w:ind w:left="283"/>
        <w:jc w:val="both"/>
        <w:rPr>
          <w:rFonts w:ascii="David" w:hAnsi="David" w:cs="David"/>
          <w:sz w:val="24"/>
          <w:szCs w:val="24"/>
        </w:rPr>
      </w:pPr>
    </w:p>
    <w:p w:rsidR="00FA7A9E" w:rsidRPr="003B696A" w:rsidRDefault="00A706B6" w:rsidP="007503BD">
      <w:pPr>
        <w:pStyle w:val="ad"/>
        <w:numPr>
          <w:ilvl w:val="0"/>
          <w:numId w:val="3"/>
        </w:numPr>
        <w:spacing w:line="360" w:lineRule="auto"/>
        <w:ind w:left="283" w:hanging="283"/>
        <w:jc w:val="both"/>
        <w:rPr>
          <w:rFonts w:ascii="David" w:hAnsi="David" w:cs="David"/>
          <w:sz w:val="24"/>
          <w:szCs w:val="24"/>
        </w:rPr>
      </w:pPr>
      <w:r>
        <w:rPr>
          <w:rFonts w:ascii="David" w:hAnsi="David" w:cs="David" w:hint="cs"/>
          <w:sz w:val="24"/>
          <w:szCs w:val="24"/>
          <w:rtl/>
        </w:rPr>
        <w:t>המנוחה, ש</w:t>
      </w:r>
      <w:r w:rsidR="007503BD">
        <w:rPr>
          <w:rFonts w:ascii="David" w:hAnsi="David" w:cs="David" w:hint="cs"/>
          <w:sz w:val="24"/>
          <w:szCs w:val="24"/>
          <w:rtl/>
        </w:rPr>
        <w:t xml:space="preserve">. </w:t>
      </w:r>
      <w:r>
        <w:rPr>
          <w:rFonts w:ascii="David" w:hAnsi="David" w:cs="David" w:hint="cs"/>
          <w:sz w:val="24"/>
          <w:szCs w:val="24"/>
          <w:rtl/>
        </w:rPr>
        <w:t xml:space="preserve"> ז"ל, הלכה לעולמה </w:t>
      </w:r>
      <w:r w:rsidR="00FA7A9E" w:rsidRPr="003B696A">
        <w:rPr>
          <w:rFonts w:ascii="David" w:hAnsi="David" w:cs="David"/>
          <w:sz w:val="24"/>
          <w:szCs w:val="24"/>
          <w:rtl/>
        </w:rPr>
        <w:t>ביום 24.12.2017; לטענת המתנגדות לאח</w:t>
      </w:r>
      <w:r w:rsidR="007503BD">
        <w:rPr>
          <w:rFonts w:ascii="David" w:hAnsi="David" w:cs="David"/>
          <w:sz w:val="24"/>
          <w:szCs w:val="24"/>
          <w:rtl/>
        </w:rPr>
        <w:t>ר מספר חודשים פנו הן לעוה"ד אהו</w:t>
      </w:r>
      <w:r w:rsidR="007503BD">
        <w:rPr>
          <w:rFonts w:ascii="David" w:hAnsi="David" w:cs="David" w:hint="cs"/>
          <w:sz w:val="24"/>
          <w:szCs w:val="24"/>
          <w:rtl/>
        </w:rPr>
        <w:t>ד</w:t>
      </w:r>
      <w:r w:rsidR="00FA7A9E" w:rsidRPr="003B696A">
        <w:rPr>
          <w:rFonts w:ascii="David" w:hAnsi="David" w:cs="David"/>
          <w:sz w:val="24"/>
          <w:szCs w:val="24"/>
          <w:rtl/>
        </w:rPr>
        <w:t xml:space="preserve"> הוברמן אשר ערך את צוואת 2009 וביקשו עותק מצוואת המנוחה. בפגישה שהתקיימה עם התובעת הסתבר כי המנוחה ערכה צוואה מאוחרת יותר בה נקבע כי היא היורשת היחידה. </w:t>
      </w:r>
    </w:p>
    <w:p w:rsidR="00FA7A9E" w:rsidRPr="003B696A" w:rsidRDefault="00FA7A9E" w:rsidP="00FA7A9E">
      <w:pPr>
        <w:pStyle w:val="ad"/>
        <w:rPr>
          <w:rFonts w:ascii="David" w:hAnsi="David" w:cs="David"/>
          <w:sz w:val="24"/>
          <w:szCs w:val="24"/>
          <w:rtl/>
        </w:rPr>
      </w:pPr>
    </w:p>
    <w:p w:rsidR="00FA7A9E" w:rsidRPr="003B696A" w:rsidRDefault="00FA7A9E" w:rsidP="00A706B6">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לטענת המתנגדות במשך כשנה וחצי התחמקה התובעת</w:t>
      </w:r>
      <w:r w:rsidR="00A706B6">
        <w:rPr>
          <w:rFonts w:ascii="David" w:hAnsi="David" w:cs="David" w:hint="cs"/>
          <w:sz w:val="24"/>
          <w:szCs w:val="24"/>
          <w:rtl/>
        </w:rPr>
        <w:t xml:space="preserve"> בתירוצים שונים</w:t>
      </w:r>
      <w:r w:rsidRPr="003B696A">
        <w:rPr>
          <w:rFonts w:ascii="David" w:hAnsi="David" w:cs="David"/>
          <w:sz w:val="24"/>
          <w:szCs w:val="24"/>
          <w:rtl/>
        </w:rPr>
        <w:t xml:space="preserve"> ולא מסרה לידיהן עותק מצוואת המנוחה המאוחרת משנת 2012. בנסיבות אלו נאלצו המתנגדות להגיש ביום 11.03.2019 בקשה למתן צו קיום לצוואת המנוחה משנת 1996, היא הצוואה היחידה אשר היתה ברשותן באותה עת. </w:t>
      </w:r>
    </w:p>
    <w:p w:rsidR="00FA7A9E" w:rsidRPr="003B696A" w:rsidRDefault="00FA7A9E" w:rsidP="00FA7A9E">
      <w:pPr>
        <w:pStyle w:val="ad"/>
        <w:rPr>
          <w:rFonts w:ascii="David" w:hAnsi="David" w:cs="David"/>
          <w:sz w:val="24"/>
          <w:szCs w:val="24"/>
          <w:rtl/>
        </w:rPr>
      </w:pPr>
    </w:p>
    <w:p w:rsidR="00A706B6" w:rsidRDefault="00FA7A9E" w:rsidP="00A706B6">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או אז, הגישה התובעת לקיום, את הצוואה המאוחרת של המנוחה, אשר נערכה ביום 10.05.2023 (להלן: </w:t>
      </w:r>
      <w:r w:rsidRPr="003B696A">
        <w:rPr>
          <w:rFonts w:ascii="David" w:hAnsi="David" w:cs="David"/>
          <w:b/>
          <w:bCs/>
          <w:sz w:val="24"/>
          <w:szCs w:val="24"/>
          <w:rtl/>
        </w:rPr>
        <w:t>"צוואת 2012"</w:t>
      </w:r>
      <w:r w:rsidRPr="003B696A">
        <w:rPr>
          <w:rFonts w:ascii="David" w:hAnsi="David" w:cs="David"/>
          <w:sz w:val="24"/>
          <w:szCs w:val="24"/>
          <w:rtl/>
        </w:rPr>
        <w:t>) ובה התובעת היא היורשת היחידה של המנוחה</w:t>
      </w:r>
      <w:r w:rsidR="00A706B6">
        <w:rPr>
          <w:rFonts w:ascii="David" w:hAnsi="David" w:cs="David" w:hint="cs"/>
          <w:sz w:val="24"/>
          <w:szCs w:val="24"/>
          <w:rtl/>
        </w:rPr>
        <w:t xml:space="preserve">, תוך שנקבע גם כי </w:t>
      </w:r>
      <w:r w:rsidRPr="003B696A">
        <w:rPr>
          <w:rFonts w:ascii="David" w:hAnsi="David" w:cs="David"/>
          <w:sz w:val="24"/>
          <w:szCs w:val="24"/>
          <w:rtl/>
        </w:rPr>
        <w:t xml:space="preserve">אם התובעת לא תהא בין החיים- יועבר העזבון לחתנה של המנוחה (בעלה של התובעת) קרי, המנוחה נישלה לחלוטין את המתנגדות (ואת שני נכדיה האחרים) בצוואת 2012 </w:t>
      </w:r>
      <w:r w:rsidR="00A706B6">
        <w:rPr>
          <w:rFonts w:ascii="David" w:hAnsi="David" w:cs="David" w:hint="cs"/>
          <w:sz w:val="24"/>
          <w:szCs w:val="24"/>
          <w:rtl/>
        </w:rPr>
        <w:t>.</w:t>
      </w:r>
    </w:p>
    <w:p w:rsidR="00A706B6" w:rsidRPr="00A706B6" w:rsidRDefault="00A706B6" w:rsidP="00A706B6">
      <w:pPr>
        <w:pStyle w:val="ad"/>
        <w:rPr>
          <w:rFonts w:ascii="David" w:hAnsi="David" w:cs="David"/>
          <w:sz w:val="24"/>
          <w:szCs w:val="24"/>
          <w:rtl/>
        </w:rPr>
      </w:pPr>
    </w:p>
    <w:p w:rsidR="00A706B6" w:rsidRPr="00A706B6" w:rsidRDefault="00A706B6" w:rsidP="00A706B6">
      <w:pPr>
        <w:pStyle w:val="ad"/>
        <w:rPr>
          <w:rFonts w:ascii="David" w:hAnsi="David" w:cs="David"/>
          <w:sz w:val="24"/>
          <w:szCs w:val="24"/>
          <w:rtl/>
        </w:rPr>
      </w:pPr>
    </w:p>
    <w:p w:rsidR="009F3887" w:rsidRDefault="009F3887" w:rsidP="00A706B6">
      <w:pPr>
        <w:pStyle w:val="ad"/>
        <w:spacing w:line="360" w:lineRule="auto"/>
        <w:ind w:left="283"/>
        <w:jc w:val="both"/>
        <w:rPr>
          <w:rFonts w:ascii="David" w:hAnsi="David" w:cs="David"/>
          <w:sz w:val="24"/>
          <w:szCs w:val="24"/>
          <w:rtl/>
        </w:rPr>
      </w:pPr>
    </w:p>
    <w:p w:rsidR="00FA7A9E" w:rsidRPr="003B696A" w:rsidRDefault="00A706B6" w:rsidP="00CF10B0">
      <w:pPr>
        <w:pStyle w:val="ad"/>
        <w:spacing w:line="360" w:lineRule="auto"/>
        <w:ind w:left="283"/>
        <w:jc w:val="both"/>
        <w:rPr>
          <w:rFonts w:ascii="David" w:hAnsi="David"/>
          <w:rtl/>
        </w:rPr>
      </w:pPr>
      <w:r>
        <w:rPr>
          <w:rFonts w:ascii="David" w:hAnsi="David" w:cs="David" w:hint="cs"/>
          <w:sz w:val="24"/>
          <w:szCs w:val="24"/>
          <w:rtl/>
        </w:rPr>
        <w:t>ז</w:t>
      </w:r>
      <w:r w:rsidR="009F3887">
        <w:rPr>
          <w:rFonts w:ascii="David" w:hAnsi="David" w:cs="David" w:hint="cs"/>
          <w:sz w:val="24"/>
          <w:szCs w:val="24"/>
          <w:rtl/>
        </w:rPr>
        <w:t>ו</w:t>
      </w:r>
      <w:r>
        <w:rPr>
          <w:rFonts w:ascii="David" w:hAnsi="David" w:cs="David" w:hint="cs"/>
          <w:sz w:val="24"/>
          <w:szCs w:val="24"/>
          <w:rtl/>
        </w:rPr>
        <w:t xml:space="preserve"> לשון צוואת 2012:</w:t>
      </w:r>
    </w:p>
    <w:p w:rsidR="00FA7A9E" w:rsidRPr="003B696A" w:rsidRDefault="00FA7A9E" w:rsidP="00FA7A9E">
      <w:pPr>
        <w:spacing w:line="360" w:lineRule="auto"/>
        <w:jc w:val="both"/>
        <w:rPr>
          <w:rFonts w:ascii="David" w:hAnsi="David"/>
          <w:noProof w:val="0"/>
          <w:rtl/>
        </w:rPr>
      </w:pPr>
    </w:p>
    <w:p w:rsidR="00FA7A9E" w:rsidRPr="003B696A" w:rsidRDefault="00FA7A9E" w:rsidP="009F3887">
      <w:pPr>
        <w:spacing w:line="360" w:lineRule="auto"/>
        <w:jc w:val="both"/>
        <w:rPr>
          <w:rFonts w:ascii="David" w:hAnsi="David"/>
          <w:noProof w:val="0"/>
        </w:rPr>
      </w:pPr>
    </w:p>
    <w:p w:rsidR="00FA7A9E" w:rsidRPr="003B696A" w:rsidRDefault="00FA7A9E" w:rsidP="00A706B6">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לטענת המתנגדות- במהלך חייהם ערכו המנוחים שתי צוואות משותפות והדדיות: צוואת 1996 וצוואת 2009- אשר נערכה לאחר תיקון מס' 12 </w:t>
      </w:r>
      <w:r w:rsidRPr="00A706B6">
        <w:rPr>
          <w:rFonts w:ascii="David" w:hAnsi="David" w:cs="David"/>
          <w:sz w:val="24"/>
          <w:szCs w:val="24"/>
          <w:rtl/>
        </w:rPr>
        <w:t>לחוק הירושה, התשכ"ה -1965</w:t>
      </w:r>
      <w:r w:rsidRPr="003B696A">
        <w:rPr>
          <w:rFonts w:ascii="David" w:hAnsi="David" w:cs="David"/>
          <w:sz w:val="24"/>
          <w:szCs w:val="24"/>
          <w:rtl/>
        </w:rPr>
        <w:t xml:space="preserve"> (להלן: </w:t>
      </w:r>
      <w:r w:rsidRPr="003B696A">
        <w:rPr>
          <w:rFonts w:ascii="David" w:hAnsi="David" w:cs="David"/>
          <w:b/>
          <w:bCs/>
          <w:sz w:val="24"/>
          <w:szCs w:val="24"/>
          <w:rtl/>
        </w:rPr>
        <w:t>"חוק הירושה"</w:t>
      </w:r>
      <w:r w:rsidRPr="003B696A">
        <w:rPr>
          <w:rFonts w:ascii="David" w:hAnsi="David" w:cs="David"/>
          <w:sz w:val="24"/>
          <w:szCs w:val="24"/>
          <w:rtl/>
        </w:rPr>
        <w:t xml:space="preserve">). </w:t>
      </w:r>
    </w:p>
    <w:p w:rsidR="00FA7A9E" w:rsidRPr="003B696A" w:rsidRDefault="00FA7A9E" w:rsidP="00A706B6">
      <w:pPr>
        <w:pStyle w:val="ad"/>
        <w:spacing w:line="360" w:lineRule="auto"/>
        <w:ind w:left="283"/>
        <w:jc w:val="both"/>
        <w:rPr>
          <w:rFonts w:ascii="David" w:hAnsi="David" w:cs="David"/>
          <w:sz w:val="24"/>
          <w:szCs w:val="24"/>
          <w:rtl/>
        </w:rPr>
      </w:pPr>
      <w:r w:rsidRPr="003B696A">
        <w:rPr>
          <w:rFonts w:ascii="David" w:hAnsi="David" w:cs="David"/>
          <w:sz w:val="24"/>
          <w:szCs w:val="24"/>
          <w:rtl/>
        </w:rPr>
        <w:t xml:space="preserve">לטענתן משעה שצוואת 2009 היא צוואה </w:t>
      </w:r>
      <w:r w:rsidRPr="003B696A">
        <w:rPr>
          <w:rFonts w:ascii="David" w:hAnsi="David" w:cs="David"/>
          <w:sz w:val="24"/>
          <w:szCs w:val="24"/>
          <w:u w:val="single"/>
          <w:rtl/>
        </w:rPr>
        <w:t>הדדית</w:t>
      </w:r>
      <w:r w:rsidRPr="003B696A">
        <w:rPr>
          <w:rFonts w:ascii="David" w:hAnsi="David" w:cs="David"/>
          <w:sz w:val="24"/>
          <w:szCs w:val="24"/>
          <w:rtl/>
        </w:rPr>
        <w:t xml:space="preserve"> אשר נערכה כאמור, לאחר תיקון</w:t>
      </w:r>
      <w:r w:rsidR="00A706B6">
        <w:rPr>
          <w:rFonts w:ascii="David" w:hAnsi="David" w:cs="David" w:hint="cs"/>
          <w:sz w:val="24"/>
          <w:szCs w:val="24"/>
          <w:rtl/>
        </w:rPr>
        <w:t xml:space="preserve"> 12 לחוק הירושה,</w:t>
      </w:r>
      <w:r w:rsidRPr="003B696A">
        <w:rPr>
          <w:rFonts w:ascii="David" w:hAnsi="David" w:cs="David"/>
          <w:sz w:val="24"/>
          <w:szCs w:val="24"/>
          <w:rtl/>
        </w:rPr>
        <w:t xml:space="preserve"> הרי שסעיף 8 (א) לחוק הירושה  חל עליה- הן לעניין הגדרת הצוואה והן לעניין </w:t>
      </w:r>
      <w:r w:rsidR="00A706B6">
        <w:rPr>
          <w:rFonts w:ascii="David" w:hAnsi="David" w:cs="David" w:hint="cs"/>
          <w:sz w:val="24"/>
          <w:szCs w:val="24"/>
          <w:rtl/>
        </w:rPr>
        <w:t>אפשרות</w:t>
      </w:r>
      <w:r w:rsidRPr="003B696A">
        <w:rPr>
          <w:rFonts w:ascii="David" w:hAnsi="David" w:cs="David"/>
          <w:sz w:val="24"/>
          <w:szCs w:val="24"/>
          <w:rtl/>
        </w:rPr>
        <w:t xml:space="preserve"> ביטולה:</w:t>
      </w:r>
    </w:p>
    <w:p w:rsidR="00FA7A9E" w:rsidRPr="003B696A" w:rsidRDefault="00FA7A9E" w:rsidP="00FA7A9E">
      <w:pPr>
        <w:pStyle w:val="ad"/>
        <w:numPr>
          <w:ilvl w:val="1"/>
          <w:numId w:val="3"/>
        </w:numPr>
        <w:spacing w:line="360" w:lineRule="auto"/>
        <w:jc w:val="both"/>
        <w:rPr>
          <w:rFonts w:ascii="David" w:hAnsi="David" w:cs="David"/>
          <w:sz w:val="24"/>
          <w:szCs w:val="24"/>
        </w:rPr>
      </w:pPr>
      <w:r w:rsidRPr="003B696A">
        <w:rPr>
          <w:rFonts w:ascii="David" w:hAnsi="David" w:cs="David"/>
          <w:sz w:val="24"/>
          <w:szCs w:val="24"/>
          <w:rtl/>
        </w:rPr>
        <w:t>העובדה שנוסח צוואת המנוח ונוסח צוואת המנוחה משנת 2009 הינו זהה, תוך הורשה הדדית האחר לאחר ושתיהן נערכו באותו יום ועל ידי אותו עו"ד- מלמדת כי בפנינו צוואה הדדית.</w:t>
      </w:r>
    </w:p>
    <w:p w:rsidR="00FA7A9E" w:rsidRPr="003B696A" w:rsidRDefault="00FA7A9E" w:rsidP="00FA7A9E">
      <w:pPr>
        <w:pStyle w:val="ad"/>
        <w:numPr>
          <w:ilvl w:val="1"/>
          <w:numId w:val="3"/>
        </w:numPr>
        <w:spacing w:line="360" w:lineRule="auto"/>
        <w:jc w:val="both"/>
        <w:rPr>
          <w:rFonts w:ascii="David" w:hAnsi="David" w:cs="David"/>
          <w:sz w:val="24"/>
          <w:szCs w:val="24"/>
        </w:rPr>
      </w:pPr>
      <w:r w:rsidRPr="003B696A">
        <w:rPr>
          <w:rFonts w:ascii="David" w:hAnsi="David" w:cs="David"/>
          <w:sz w:val="24"/>
          <w:szCs w:val="24"/>
          <w:rtl/>
        </w:rPr>
        <w:t xml:space="preserve">בסעיף 1 לצוואת 2009 , כתבה המנוחה כדלקמן: </w:t>
      </w:r>
      <w:r w:rsidRPr="003B696A">
        <w:rPr>
          <w:rFonts w:ascii="David" w:hAnsi="David" w:cs="David"/>
          <w:b/>
          <w:bCs/>
          <w:sz w:val="24"/>
          <w:szCs w:val="24"/>
          <w:rtl/>
        </w:rPr>
        <w:t xml:space="preserve">"..הצוואה הזאת לכל פרטיה תהיה ותישאר קיימת למן היום הזה ולעולם צוואתי האחרונה והיחידה בעלת תוקף גמור, </w:t>
      </w:r>
      <w:r w:rsidRPr="003B696A">
        <w:rPr>
          <w:rFonts w:ascii="David" w:hAnsi="David" w:cs="David"/>
          <w:b/>
          <w:bCs/>
          <w:sz w:val="24"/>
          <w:szCs w:val="24"/>
          <w:rtl/>
        </w:rPr>
        <w:lastRenderedPageBreak/>
        <w:t>עפ"י חוק או דין ואין היא יכולה להיפגע בשום תנאי מתנאיה אלא עפ"י צוואה אחרת שתעשה כדין בכתב ובפני עדים, במועד מאוחר יותר מאשר תאריך חותמת צוואה זו"</w:t>
      </w:r>
    </w:p>
    <w:p w:rsidR="00FA7A9E" w:rsidRPr="003B696A" w:rsidRDefault="00FA7A9E" w:rsidP="00FA7A9E">
      <w:pPr>
        <w:pStyle w:val="ad"/>
        <w:spacing w:line="360" w:lineRule="auto"/>
        <w:ind w:left="1440"/>
        <w:jc w:val="both"/>
        <w:rPr>
          <w:rFonts w:ascii="David" w:hAnsi="David" w:cs="David"/>
          <w:sz w:val="24"/>
          <w:szCs w:val="24"/>
          <w:rtl/>
        </w:rPr>
      </w:pPr>
      <w:r w:rsidRPr="003B696A">
        <w:rPr>
          <w:rFonts w:ascii="David" w:hAnsi="David" w:cs="David"/>
          <w:sz w:val="24"/>
          <w:szCs w:val="24"/>
          <w:rtl/>
        </w:rPr>
        <w:t>לטענת המתנגדות, סעיף זה אינו עוסק בביטול הצוואה ואין בו הצהרה מפורשת בדבר יכולת לשנות את הצוואה בכל עת וללא מגבלה, אלא הסעיף מבהיר כי הצוואה תהיה שרירה וקיימת ולא ניתן יהיה לפגוע בתוקפה בשום דרך אלא באמצעות צוואה אחרת אשר תעמוד בשלוש דרישות: הצוואה תערך בכתב, הצוואה תהיה צוואה בעדים והצוואה תערך כדין. מטבע הדברים כולל בתוכו "הדין" גם את סעיף 8 (א) לחוק הירושה המגדיר את הדרישות לצורך ביטולה של צוואה הדדית.</w:t>
      </w:r>
    </w:p>
    <w:p w:rsidR="00FA7A9E" w:rsidRPr="003B696A" w:rsidRDefault="00FA7A9E" w:rsidP="00FA7A9E">
      <w:pPr>
        <w:pStyle w:val="ad"/>
        <w:numPr>
          <w:ilvl w:val="1"/>
          <w:numId w:val="3"/>
        </w:numPr>
        <w:spacing w:line="360" w:lineRule="auto"/>
        <w:jc w:val="both"/>
        <w:rPr>
          <w:rFonts w:ascii="David" w:hAnsi="David" w:cs="David"/>
          <w:sz w:val="24"/>
          <w:szCs w:val="24"/>
        </w:rPr>
      </w:pPr>
      <w:r w:rsidRPr="003B696A">
        <w:rPr>
          <w:rFonts w:ascii="David" w:hAnsi="David" w:cs="David"/>
          <w:sz w:val="24"/>
          <w:szCs w:val="24"/>
          <w:rtl/>
        </w:rPr>
        <w:t xml:space="preserve">כפי שיובהר להלן, התובעת טענה כי סעיף 1 לצוואת 2009 מהווה 'הוראה אחרת' כמשמעותה בסעיף 8 (א)(ג) לחוק הירושה והקובע: </w:t>
      </w:r>
      <w:r w:rsidRPr="003B696A">
        <w:rPr>
          <w:rFonts w:ascii="David" w:hAnsi="David" w:cs="David"/>
          <w:b/>
          <w:bCs/>
          <w:sz w:val="24"/>
          <w:szCs w:val="24"/>
          <w:rtl/>
        </w:rPr>
        <w:t>"הוראות סעיף קטן (ב) יחולו אם אין בצוואות ההדדיות הוראה אחרת, ואולם הוראה השוללת לחלוטין את הזכות לבטל את הצוואה בחיי שני בני הזוג – בטלה."</w:t>
      </w:r>
      <w:r w:rsidRPr="003B696A">
        <w:rPr>
          <w:rFonts w:ascii="David" w:hAnsi="David" w:cs="David"/>
          <w:sz w:val="24"/>
          <w:szCs w:val="24"/>
          <w:rtl/>
        </w:rPr>
        <w:t xml:space="preserve"> </w:t>
      </w:r>
    </w:p>
    <w:p w:rsidR="00FA7A9E" w:rsidRPr="003B696A" w:rsidRDefault="00FA7A9E" w:rsidP="00FA7A9E">
      <w:pPr>
        <w:pStyle w:val="ad"/>
        <w:spacing w:line="360" w:lineRule="auto"/>
        <w:ind w:left="1440"/>
        <w:jc w:val="both"/>
        <w:rPr>
          <w:rFonts w:ascii="David" w:hAnsi="David" w:cs="David"/>
          <w:sz w:val="24"/>
          <w:szCs w:val="24"/>
          <w:rtl/>
        </w:rPr>
      </w:pPr>
      <w:r w:rsidRPr="003B696A">
        <w:rPr>
          <w:rFonts w:ascii="David" w:hAnsi="David" w:cs="David"/>
          <w:sz w:val="24"/>
          <w:szCs w:val="24"/>
          <w:rtl/>
        </w:rPr>
        <w:t xml:space="preserve">טענה התובעת שסעיף 1 לצוואת 2009 , קובע אחרת מאפשרות הביטול הקבועה בחוק; המתנגדות טענו כי בכתב ההתנגדות המתוקן, זנחה התובעת את הטענה האמורה ובכל מקרה לטענתן, סעיף 1 לצוואת 2009 איננו מהווה 'הוראה אחרת' שכן לא נאמר בו ברחל בתך הקטנה כי המצווה שומרת על זכותה לשנות ולבטל את צוואתה בכל עת, ללא תנאי ובאופן חופשי. </w:t>
      </w:r>
    </w:p>
    <w:p w:rsidR="00FA7A9E" w:rsidRPr="003B696A" w:rsidRDefault="00FA7A9E" w:rsidP="00FA7A9E">
      <w:pPr>
        <w:pStyle w:val="ad"/>
        <w:spacing w:line="360" w:lineRule="auto"/>
        <w:ind w:left="1440"/>
        <w:jc w:val="both"/>
        <w:rPr>
          <w:rFonts w:ascii="David" w:hAnsi="David" w:cs="David"/>
          <w:sz w:val="24"/>
          <w:szCs w:val="24"/>
        </w:rPr>
      </w:pPr>
    </w:p>
    <w:p w:rsidR="00FA7A9E" w:rsidRPr="003B696A" w:rsidRDefault="00FA7A9E" w:rsidP="005A50C9">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לטענת המתנגדות וכאמור, לא יכול להיות ספק בדבר היותה של  צוואת 2009 צוואה הדדית וזאת  לאור עמידתה בכל דרישות סעיף 8 א' לחוק הירושה ומשכך ולאור העובדה שהצוואה נערכה לאחר </w:t>
      </w:r>
      <w:r w:rsidR="00A706B6">
        <w:rPr>
          <w:rFonts w:ascii="David" w:hAnsi="David" w:cs="David" w:hint="cs"/>
          <w:sz w:val="24"/>
          <w:szCs w:val="24"/>
          <w:rtl/>
        </w:rPr>
        <w:t>ת</w:t>
      </w:r>
      <w:r w:rsidRPr="003B696A">
        <w:rPr>
          <w:rFonts w:ascii="David" w:hAnsi="David" w:cs="David"/>
          <w:sz w:val="24"/>
          <w:szCs w:val="24"/>
          <w:rtl/>
        </w:rPr>
        <w:t>יקון</w:t>
      </w:r>
      <w:r w:rsidR="00A706B6">
        <w:rPr>
          <w:rFonts w:ascii="David" w:hAnsi="David" w:cs="David" w:hint="cs"/>
          <w:sz w:val="24"/>
          <w:szCs w:val="24"/>
          <w:rtl/>
        </w:rPr>
        <w:t xml:space="preserve"> 12 לחוק הירושה</w:t>
      </w:r>
      <w:r w:rsidRPr="003B696A">
        <w:rPr>
          <w:rFonts w:ascii="David" w:hAnsi="David" w:cs="David"/>
          <w:sz w:val="24"/>
          <w:szCs w:val="24"/>
          <w:rtl/>
        </w:rPr>
        <w:t>, עובר נטל הראייה</w:t>
      </w:r>
      <w:r w:rsidR="00A706B6">
        <w:rPr>
          <w:rFonts w:ascii="David" w:hAnsi="David" w:cs="David" w:hint="cs"/>
          <w:sz w:val="24"/>
          <w:szCs w:val="24"/>
          <w:rtl/>
        </w:rPr>
        <w:t xml:space="preserve"> לכתפי התובעת</w:t>
      </w:r>
      <w:r w:rsidRPr="003B696A">
        <w:rPr>
          <w:rFonts w:ascii="David" w:hAnsi="David" w:cs="David"/>
          <w:sz w:val="24"/>
          <w:szCs w:val="24"/>
          <w:rtl/>
        </w:rPr>
        <w:t xml:space="preserve"> להראות כי אין מקום להחיל על הצוואה את הוראות סעיף 8 א' לחוק הירושה</w:t>
      </w:r>
      <w:r w:rsidR="00A706B6">
        <w:rPr>
          <w:rFonts w:ascii="David" w:hAnsi="David" w:cs="David" w:hint="cs"/>
          <w:sz w:val="24"/>
          <w:szCs w:val="24"/>
          <w:rtl/>
        </w:rPr>
        <w:t>.</w:t>
      </w:r>
    </w:p>
    <w:p w:rsidR="00FA7A9E" w:rsidRDefault="00FA7A9E" w:rsidP="00FA7A9E">
      <w:pPr>
        <w:pStyle w:val="ad"/>
        <w:spacing w:line="360" w:lineRule="auto"/>
        <w:ind w:left="283"/>
        <w:jc w:val="both"/>
        <w:rPr>
          <w:rFonts w:ascii="David" w:hAnsi="David" w:cs="David"/>
          <w:sz w:val="24"/>
          <w:szCs w:val="24"/>
          <w:rtl/>
        </w:rPr>
      </w:pPr>
      <w:r w:rsidRPr="003B696A">
        <w:rPr>
          <w:rFonts w:ascii="David" w:hAnsi="David" w:cs="David"/>
          <w:sz w:val="24"/>
          <w:szCs w:val="24"/>
          <w:rtl/>
        </w:rPr>
        <w:t>לטענתן, לא עמדה התובעת בנטל זה ולא עלה בידיה להראות כי אין מקום להחיל את הוראות החוק על הצוואה וכאמור.</w:t>
      </w:r>
    </w:p>
    <w:p w:rsidR="005A50C9" w:rsidRPr="003B696A" w:rsidRDefault="005A50C9" w:rsidP="00FA7A9E">
      <w:pPr>
        <w:pStyle w:val="ad"/>
        <w:spacing w:line="360" w:lineRule="auto"/>
        <w:ind w:left="283"/>
        <w:jc w:val="both"/>
        <w:rPr>
          <w:rFonts w:ascii="David" w:hAnsi="David" w:cs="David"/>
          <w:sz w:val="24"/>
          <w:szCs w:val="24"/>
        </w:rPr>
      </w:pPr>
    </w:p>
    <w:p w:rsidR="00FA7A9E" w:rsidRDefault="00FA7A9E" w:rsidP="00FA7A9E">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 עוד טענו המתנגדות כי על מנת שתוכל המנוחה לערוך צוואה חדשה, אשר תחליף את צוואתה ההדדית משנת 2009, היה עליה למסור הודעה בכתב על ביטול הצוואה למנוח, אשר היה בחיים באותה עת (שנת 2012). לא זו בלבד שהודעה כאמור לא נמסרה אלא שגם לו הייתה נמסרת, לא היה המנוח כשיר לקבלה.</w:t>
      </w:r>
    </w:p>
    <w:p w:rsidR="005A50C9" w:rsidRPr="003B696A" w:rsidRDefault="005A50C9" w:rsidP="005A50C9">
      <w:pPr>
        <w:pStyle w:val="ad"/>
        <w:spacing w:line="360" w:lineRule="auto"/>
        <w:ind w:left="283"/>
        <w:jc w:val="both"/>
        <w:rPr>
          <w:rFonts w:ascii="David" w:hAnsi="David" w:cs="David"/>
          <w:sz w:val="24"/>
          <w:szCs w:val="24"/>
        </w:rPr>
      </w:pPr>
    </w:p>
    <w:p w:rsidR="00FA7A9E" w:rsidRDefault="00FA7A9E" w:rsidP="005A50C9">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 זאת ועוד, חלף התייצבות עורך צוואת 2009 וצוואת 2012, עורך הדין הוברמן</w:t>
      </w:r>
      <w:r w:rsidR="005A50C9">
        <w:rPr>
          <w:rFonts w:ascii="David" w:hAnsi="David" w:cs="David"/>
          <w:sz w:val="24"/>
          <w:szCs w:val="24"/>
          <w:rtl/>
        </w:rPr>
        <w:t xml:space="preserve">, לעדות, צורף מייל קצר ממנו </w:t>
      </w:r>
      <w:r w:rsidR="005A50C9">
        <w:rPr>
          <w:rFonts w:ascii="David" w:hAnsi="David" w:cs="David" w:hint="cs"/>
          <w:sz w:val="24"/>
          <w:szCs w:val="24"/>
          <w:rtl/>
        </w:rPr>
        <w:t xml:space="preserve">אשר בו כתב כי </w:t>
      </w:r>
      <w:r w:rsidRPr="003B696A">
        <w:rPr>
          <w:rFonts w:ascii="David" w:hAnsi="David" w:cs="David"/>
          <w:sz w:val="24"/>
          <w:szCs w:val="24"/>
          <w:rtl/>
        </w:rPr>
        <w:t xml:space="preserve">צוואת 2009 איננה צוואה הדדית (ראה להלן). לטענת המתנגדות אין במייל התייחסות כלשהי לאומד דעתם של המצווים, אלא לאומד דעתו של עוה"ד הוברמן בלבד- אשר מדווח כי קרא את הצוואה ולאור נוסחה, אין המדובר בצוואה הדדית. לטענת המתנגדות, </w:t>
      </w:r>
      <w:r w:rsidRPr="003B696A">
        <w:rPr>
          <w:rFonts w:ascii="David" w:hAnsi="David" w:cs="David"/>
          <w:sz w:val="24"/>
          <w:szCs w:val="24"/>
          <w:rtl/>
        </w:rPr>
        <w:lastRenderedPageBreak/>
        <w:t>המדובר במסמך מוזמן שנועד להסתיר מפני ביהמ"ש את האמת הפשוטה- המנוחים לא ביקשו לאפשר זה לזו לשנות את הצוואה שלא בהתאם למגבלות סעיף 8 א' לחוק הירושה.</w:t>
      </w:r>
    </w:p>
    <w:p w:rsidR="005A50C9" w:rsidRPr="005A50C9" w:rsidRDefault="005A50C9" w:rsidP="005A50C9">
      <w:pPr>
        <w:pStyle w:val="ad"/>
        <w:rPr>
          <w:rFonts w:ascii="David" w:hAnsi="David" w:cs="David"/>
          <w:sz w:val="24"/>
          <w:szCs w:val="24"/>
          <w:rtl/>
        </w:rPr>
      </w:pPr>
    </w:p>
    <w:p w:rsidR="00FA7A9E" w:rsidRPr="003B696A" w:rsidRDefault="00FA7A9E" w:rsidP="00FA7A9E">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אשר על כן עתרו המתנגדות לדחות את הבקשה לקיום צוואת 2012 וליתן צו לקיום צוואת 2009, תוך חיוב התובעת בהוצאות לדוגמא.</w:t>
      </w:r>
    </w:p>
    <w:p w:rsidR="00FA7A9E" w:rsidRDefault="00FA7A9E" w:rsidP="00FA7A9E">
      <w:pPr>
        <w:pStyle w:val="ad"/>
        <w:spacing w:line="360" w:lineRule="auto"/>
        <w:ind w:left="283"/>
        <w:jc w:val="both"/>
        <w:rPr>
          <w:rFonts w:ascii="David" w:hAnsi="David" w:cs="David"/>
          <w:sz w:val="24"/>
          <w:szCs w:val="24"/>
          <w:rtl/>
        </w:rPr>
      </w:pPr>
    </w:p>
    <w:p w:rsidR="005A50C9" w:rsidRPr="005A50C9" w:rsidRDefault="005A50C9" w:rsidP="00FA7A9E">
      <w:pPr>
        <w:pStyle w:val="ad"/>
        <w:spacing w:line="360" w:lineRule="auto"/>
        <w:ind w:left="283"/>
        <w:jc w:val="both"/>
        <w:rPr>
          <w:rFonts w:ascii="David" w:hAnsi="David" w:cs="David"/>
          <w:sz w:val="24"/>
          <w:szCs w:val="24"/>
        </w:rPr>
      </w:pPr>
    </w:p>
    <w:p w:rsidR="00FA7A9E" w:rsidRPr="003B696A" w:rsidRDefault="00FA7A9E" w:rsidP="00FA7A9E">
      <w:pPr>
        <w:pStyle w:val="ad"/>
        <w:spacing w:line="360" w:lineRule="auto"/>
        <w:ind w:left="283" w:hanging="283"/>
        <w:jc w:val="both"/>
        <w:rPr>
          <w:rFonts w:ascii="David" w:hAnsi="David" w:cs="David"/>
          <w:b/>
          <w:bCs/>
          <w:sz w:val="24"/>
          <w:szCs w:val="24"/>
          <w:u w:val="single"/>
          <w:rtl/>
        </w:rPr>
      </w:pPr>
      <w:r w:rsidRPr="003B696A">
        <w:rPr>
          <w:rFonts w:ascii="David" w:hAnsi="David" w:cs="David"/>
          <w:b/>
          <w:bCs/>
          <w:sz w:val="24"/>
          <w:szCs w:val="24"/>
          <w:u w:val="single"/>
          <w:rtl/>
        </w:rPr>
        <w:t>טענות התובעת</w:t>
      </w:r>
    </w:p>
    <w:p w:rsidR="00FA7A9E" w:rsidRPr="003B696A" w:rsidRDefault="00FA7A9E" w:rsidP="00FA7A9E">
      <w:pPr>
        <w:pStyle w:val="ad"/>
        <w:spacing w:line="360" w:lineRule="auto"/>
        <w:ind w:left="283" w:hanging="283"/>
        <w:jc w:val="both"/>
        <w:rPr>
          <w:rFonts w:ascii="David" w:hAnsi="David" w:cs="David"/>
          <w:b/>
          <w:bCs/>
          <w:sz w:val="24"/>
          <w:szCs w:val="24"/>
          <w:u w:val="single"/>
        </w:rPr>
      </w:pPr>
    </w:p>
    <w:p w:rsidR="00FA7A9E" w:rsidRDefault="00FA7A9E" w:rsidP="00A7524C">
      <w:pPr>
        <w:pStyle w:val="ad"/>
        <w:numPr>
          <w:ilvl w:val="0"/>
          <w:numId w:val="3"/>
        </w:numPr>
        <w:spacing w:line="360" w:lineRule="auto"/>
        <w:ind w:left="283" w:hanging="283"/>
        <w:jc w:val="both"/>
        <w:rPr>
          <w:rFonts w:ascii="David" w:hAnsi="David" w:cs="David"/>
          <w:sz w:val="24"/>
          <w:szCs w:val="24"/>
        </w:rPr>
      </w:pPr>
      <w:r w:rsidRPr="00F857B6">
        <w:rPr>
          <w:rFonts w:ascii="David" w:hAnsi="David" w:cs="David"/>
          <w:sz w:val="24"/>
          <w:szCs w:val="24"/>
          <w:rtl/>
        </w:rPr>
        <w:t xml:space="preserve"> לטענת התובעת, הצוואה משנת 1996 היא צוואה אשר נערכה על ידי המנוחה בלבד וכי המתנגדות לא הציגו עותק מצוואת המנוח מאותו מועד (ועל שום כך טענה התובעת כי אין המדובר בצוואה הדדית); עוד מפנה התובעת להתנהלות </w:t>
      </w:r>
      <w:r w:rsidR="00F857B6">
        <w:rPr>
          <w:rFonts w:ascii="David" w:hAnsi="David" w:cs="David" w:hint="cs"/>
          <w:sz w:val="24"/>
          <w:szCs w:val="24"/>
          <w:rtl/>
        </w:rPr>
        <w:t>המתנגדות אשר עתרו לקיום הצווא</w:t>
      </w:r>
      <w:r w:rsidR="00CF10B0">
        <w:rPr>
          <w:rFonts w:ascii="David" w:hAnsi="David" w:cs="David" w:hint="cs"/>
          <w:sz w:val="24"/>
          <w:szCs w:val="24"/>
          <w:rtl/>
        </w:rPr>
        <w:t xml:space="preserve">ה מ-2009 אולם לא היה להם אפילו </w:t>
      </w:r>
      <w:r w:rsidR="00F857B6">
        <w:rPr>
          <w:rFonts w:ascii="David" w:hAnsi="David" w:cs="David" w:hint="cs"/>
          <w:sz w:val="24"/>
          <w:szCs w:val="24"/>
          <w:rtl/>
        </w:rPr>
        <w:t>ע</w:t>
      </w:r>
      <w:r w:rsidR="00CF10B0">
        <w:rPr>
          <w:rFonts w:ascii="David" w:hAnsi="David" w:cs="David" w:hint="cs"/>
          <w:sz w:val="24"/>
          <w:szCs w:val="24"/>
          <w:rtl/>
        </w:rPr>
        <w:t>ו</w:t>
      </w:r>
      <w:r w:rsidR="00F857B6">
        <w:rPr>
          <w:rFonts w:ascii="David" w:hAnsi="David" w:cs="David" w:hint="cs"/>
          <w:sz w:val="24"/>
          <w:szCs w:val="24"/>
          <w:rtl/>
        </w:rPr>
        <w:t>תק ממנה.</w:t>
      </w:r>
    </w:p>
    <w:p w:rsidR="00F857B6" w:rsidRPr="00F857B6" w:rsidRDefault="00F857B6" w:rsidP="00F857B6">
      <w:pPr>
        <w:pStyle w:val="ad"/>
        <w:spacing w:line="360" w:lineRule="auto"/>
        <w:ind w:left="283"/>
        <w:jc w:val="both"/>
        <w:rPr>
          <w:rFonts w:ascii="David" w:hAnsi="David" w:cs="David"/>
          <w:sz w:val="24"/>
          <w:szCs w:val="24"/>
        </w:rPr>
      </w:pPr>
    </w:p>
    <w:p w:rsidR="00FA7A9E" w:rsidRPr="003B696A" w:rsidRDefault="00FA7A9E" w:rsidP="007D461B">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 א.</w:t>
      </w:r>
      <w:r w:rsidRPr="003B696A">
        <w:rPr>
          <w:rFonts w:ascii="David" w:hAnsi="David" w:cs="David"/>
          <w:sz w:val="24"/>
          <w:szCs w:val="24"/>
          <w:rtl/>
        </w:rPr>
        <w:tab/>
        <w:t>צוואת 2009 הינה צוואה רגילה ואישית; המנוחה כתבה את הוראותי</w:t>
      </w:r>
      <w:r w:rsidR="007D461B">
        <w:rPr>
          <w:rFonts w:ascii="David" w:hAnsi="David" w:cs="David" w:hint="cs"/>
          <w:sz w:val="24"/>
          <w:szCs w:val="24"/>
          <w:rtl/>
        </w:rPr>
        <w:t>ה</w:t>
      </w:r>
      <w:r w:rsidRPr="003B696A">
        <w:rPr>
          <w:rFonts w:ascii="David" w:hAnsi="David" w:cs="David"/>
          <w:sz w:val="24"/>
          <w:szCs w:val="24"/>
          <w:rtl/>
        </w:rPr>
        <w:t xml:space="preserve"> בגוף ראשון ואין כל  </w:t>
      </w:r>
    </w:p>
    <w:p w:rsidR="00FA7A9E" w:rsidRPr="003B696A" w:rsidRDefault="00FA7A9E" w:rsidP="00FA7A9E">
      <w:pPr>
        <w:pStyle w:val="ad"/>
        <w:spacing w:line="360" w:lineRule="auto"/>
        <w:ind w:left="283"/>
        <w:jc w:val="both"/>
        <w:rPr>
          <w:rFonts w:ascii="David" w:hAnsi="David" w:cs="David"/>
          <w:sz w:val="24"/>
          <w:szCs w:val="24"/>
        </w:rPr>
      </w:pPr>
      <w:r w:rsidRPr="003B696A">
        <w:rPr>
          <w:rFonts w:ascii="David" w:hAnsi="David" w:cs="David"/>
          <w:sz w:val="24"/>
          <w:szCs w:val="24"/>
          <w:rtl/>
        </w:rPr>
        <w:tab/>
        <w:t>מילת פועל ברבים.</w:t>
      </w:r>
    </w:p>
    <w:p w:rsidR="00FA7A9E" w:rsidRPr="003B696A" w:rsidRDefault="00FA7A9E" w:rsidP="007D461B">
      <w:pPr>
        <w:pStyle w:val="ad"/>
        <w:numPr>
          <w:ilvl w:val="0"/>
          <w:numId w:val="4"/>
        </w:numPr>
        <w:spacing w:line="360" w:lineRule="auto"/>
        <w:ind w:left="708" w:hanging="425"/>
        <w:jc w:val="both"/>
        <w:rPr>
          <w:rFonts w:ascii="David" w:hAnsi="David" w:cs="David"/>
          <w:sz w:val="24"/>
          <w:szCs w:val="24"/>
        </w:rPr>
      </w:pPr>
      <w:r w:rsidRPr="003B696A">
        <w:rPr>
          <w:rFonts w:ascii="David" w:hAnsi="David" w:cs="David"/>
          <w:sz w:val="24"/>
          <w:szCs w:val="24"/>
          <w:rtl/>
        </w:rPr>
        <w:t xml:space="preserve">עורך הדין שערך את צוואת 2009 הינו אותו עורך דין שערך את צוואת 2012 מכאן שאם היה עורך את צוואת 2009 כצוואה הדדית- היה </w:t>
      </w:r>
      <w:r w:rsidR="007D461B">
        <w:rPr>
          <w:rFonts w:ascii="David" w:hAnsi="David" w:cs="David" w:hint="cs"/>
          <w:sz w:val="24"/>
          <w:szCs w:val="24"/>
          <w:rtl/>
        </w:rPr>
        <w:t>הוא מודע להשלכות המשפטיות ומעדכן בהן את המנוחה.</w:t>
      </w:r>
      <w:r w:rsidRPr="003B696A">
        <w:rPr>
          <w:rFonts w:ascii="David" w:hAnsi="David" w:cs="David"/>
          <w:sz w:val="24"/>
          <w:szCs w:val="24"/>
          <w:rtl/>
        </w:rPr>
        <w:t xml:space="preserve"> </w:t>
      </w:r>
    </w:p>
    <w:p w:rsidR="00FA7A9E" w:rsidRPr="00F857B6" w:rsidRDefault="00FA7A9E" w:rsidP="00FA7A9E">
      <w:pPr>
        <w:pStyle w:val="ad"/>
        <w:numPr>
          <w:ilvl w:val="0"/>
          <w:numId w:val="4"/>
        </w:numPr>
        <w:spacing w:line="360" w:lineRule="auto"/>
        <w:ind w:left="708" w:hanging="425"/>
        <w:jc w:val="both"/>
        <w:rPr>
          <w:rFonts w:ascii="David" w:hAnsi="David" w:cs="David"/>
          <w:sz w:val="24"/>
          <w:szCs w:val="24"/>
        </w:rPr>
      </w:pPr>
      <w:r w:rsidRPr="003B696A">
        <w:rPr>
          <w:rFonts w:ascii="David" w:hAnsi="David" w:cs="David"/>
          <w:sz w:val="24"/>
          <w:szCs w:val="24"/>
          <w:rtl/>
        </w:rPr>
        <w:t xml:space="preserve">צוואת האב המנוח משנת 2009 קוימה במלואה כצוואה אישית רגילה וללא כל מגבלה </w:t>
      </w:r>
      <w:r w:rsidRPr="00F857B6">
        <w:rPr>
          <w:rFonts w:ascii="David" w:hAnsi="David" w:cs="David"/>
          <w:sz w:val="24"/>
          <w:szCs w:val="24"/>
          <w:rtl/>
        </w:rPr>
        <w:t>והמתנגדות לא התנגדו לכך.</w:t>
      </w:r>
    </w:p>
    <w:p w:rsidR="00F857B6" w:rsidRPr="00CF10B0" w:rsidRDefault="00FA7A9E" w:rsidP="00096BFE">
      <w:pPr>
        <w:pStyle w:val="ad"/>
        <w:numPr>
          <w:ilvl w:val="0"/>
          <w:numId w:val="4"/>
        </w:numPr>
        <w:spacing w:line="360" w:lineRule="auto"/>
        <w:ind w:left="708" w:hanging="425"/>
        <w:jc w:val="both"/>
        <w:rPr>
          <w:rFonts w:ascii="David" w:hAnsi="David"/>
          <w:color w:val="FF0000"/>
          <w:sz w:val="24"/>
          <w:szCs w:val="24"/>
        </w:rPr>
      </w:pPr>
      <w:r w:rsidRPr="00CF10B0">
        <w:rPr>
          <w:rFonts w:ascii="David" w:hAnsi="David" w:cs="David"/>
          <w:sz w:val="24"/>
          <w:szCs w:val="24"/>
          <w:rtl/>
        </w:rPr>
        <w:t xml:space="preserve">גם אם נטען כי צוואות המנוחים משנת 2009 נערכו מתוך הסתמכות להורשה הדדית עצמית, אין זה מעיד כי </w:t>
      </w:r>
      <w:r w:rsidR="00B94DDA" w:rsidRPr="00CF10B0">
        <w:rPr>
          <w:rFonts w:ascii="David" w:hAnsi="David" w:cs="David" w:hint="cs"/>
          <w:sz w:val="24"/>
          <w:szCs w:val="24"/>
          <w:rtl/>
        </w:rPr>
        <w:t xml:space="preserve">אלו </w:t>
      </w:r>
      <w:r w:rsidRPr="00CF10B0">
        <w:rPr>
          <w:rFonts w:ascii="David" w:hAnsi="David" w:cs="David"/>
          <w:sz w:val="24"/>
          <w:szCs w:val="24"/>
          <w:rtl/>
        </w:rPr>
        <w:t>'נכנסו למתחם הצוואות ההדדיות'; כותרת הצוואה אינה 'הדדית', אין בשתי הצוואות כל אזכור מפורש לכך כי המדובר בצוואה הדדית.</w:t>
      </w:r>
    </w:p>
    <w:p w:rsidR="00FA7A9E" w:rsidRPr="00CF10B0" w:rsidRDefault="00F857B6" w:rsidP="00096BFE">
      <w:pPr>
        <w:pStyle w:val="ad"/>
        <w:numPr>
          <w:ilvl w:val="0"/>
          <w:numId w:val="4"/>
        </w:numPr>
        <w:spacing w:line="360" w:lineRule="auto"/>
        <w:ind w:left="708" w:hanging="425"/>
        <w:jc w:val="both"/>
        <w:rPr>
          <w:rFonts w:ascii="David" w:hAnsi="David" w:cs="David"/>
          <w:color w:val="FF0000"/>
          <w:sz w:val="24"/>
          <w:szCs w:val="24"/>
        </w:rPr>
      </w:pPr>
      <w:r w:rsidRPr="00CF10B0">
        <w:rPr>
          <w:rFonts w:ascii="David" w:hAnsi="David" w:cs="David"/>
          <w:sz w:val="24"/>
          <w:szCs w:val="24"/>
          <w:rtl/>
        </w:rPr>
        <w:t>ס</w:t>
      </w:r>
      <w:r w:rsidR="00FA7A9E" w:rsidRPr="00CF10B0">
        <w:rPr>
          <w:rFonts w:ascii="David" w:hAnsi="David" w:cs="David"/>
          <w:sz w:val="24"/>
          <w:szCs w:val="24"/>
          <w:rtl/>
        </w:rPr>
        <w:t xml:space="preserve">עיף 1 לצוואות המנוחים משנת 2009 קבע מפורשות את </w:t>
      </w:r>
      <w:r w:rsidR="00D83E44" w:rsidRPr="00CF10B0">
        <w:rPr>
          <w:rFonts w:ascii="David" w:hAnsi="David" w:cs="David"/>
          <w:sz w:val="24"/>
          <w:szCs w:val="24"/>
          <w:rtl/>
        </w:rPr>
        <w:t xml:space="preserve">אפשרות </w:t>
      </w:r>
      <w:r w:rsidR="00FA7A9E" w:rsidRPr="00CF10B0">
        <w:rPr>
          <w:rFonts w:ascii="David" w:hAnsi="David" w:cs="David"/>
          <w:sz w:val="24"/>
          <w:szCs w:val="24"/>
          <w:rtl/>
        </w:rPr>
        <w:t>השינוי של הצוואה; המנוחים התירו לשנות את הצוואה בעתיד- באמצעות צוואה אחרת בכתב בפני עדים. לא זו אף זו – המנוחים הורישו את ע</w:t>
      </w:r>
      <w:r w:rsidR="00B94DDA" w:rsidRPr="00CF10B0">
        <w:rPr>
          <w:rFonts w:ascii="David" w:hAnsi="David" w:cs="David"/>
          <w:sz w:val="24"/>
          <w:szCs w:val="24"/>
          <w:rtl/>
        </w:rPr>
        <w:t>י</w:t>
      </w:r>
      <w:r w:rsidR="00FA7A9E" w:rsidRPr="00CF10B0">
        <w:rPr>
          <w:rFonts w:ascii="David" w:hAnsi="David" w:cs="David"/>
          <w:sz w:val="24"/>
          <w:szCs w:val="24"/>
          <w:rtl/>
        </w:rPr>
        <w:t xml:space="preserve">זבונם אחד לשני ואולם לא הגבילו בצוואה את השימוש של בן הזוג בעיזבון שקיבל ולא הגבילו אותו בהורשתו. </w:t>
      </w:r>
      <w:r w:rsidRPr="00CF10B0">
        <w:rPr>
          <w:rFonts w:ascii="David" w:hAnsi="David" w:cs="David" w:hint="cs"/>
          <w:sz w:val="24"/>
          <w:szCs w:val="24"/>
          <w:rtl/>
        </w:rPr>
        <w:t xml:space="preserve">לטענת התובעת, </w:t>
      </w:r>
      <w:r w:rsidR="00FA7A9E" w:rsidRPr="00CF10B0">
        <w:rPr>
          <w:rFonts w:ascii="David" w:hAnsi="David" w:cs="David"/>
          <w:sz w:val="24"/>
          <w:szCs w:val="24"/>
          <w:rtl/>
        </w:rPr>
        <w:t xml:space="preserve">סעיף 1 לצוואת המנוחה יצר מעין הסכם נאמנות בינה </w:t>
      </w:r>
      <w:r w:rsidR="00B94DDA" w:rsidRPr="00CF10B0">
        <w:rPr>
          <w:rFonts w:ascii="David" w:hAnsi="David" w:cs="David"/>
          <w:sz w:val="24"/>
          <w:szCs w:val="24"/>
          <w:rtl/>
        </w:rPr>
        <w:t>ו</w:t>
      </w:r>
      <w:r w:rsidR="00FA7A9E" w:rsidRPr="00CF10B0">
        <w:rPr>
          <w:rFonts w:ascii="David" w:hAnsi="David" w:cs="David"/>
          <w:sz w:val="24"/>
          <w:szCs w:val="24"/>
          <w:rtl/>
        </w:rPr>
        <w:t>בין המנוח- מלוא עיזבון המנוחה יעבור למנוח ואולם הוא רשאי לעשות ברכוש כרצונו.</w:t>
      </w:r>
      <w:r w:rsidR="00B94DDA" w:rsidRPr="00CF10B0">
        <w:rPr>
          <w:rFonts w:ascii="David" w:hAnsi="David" w:cs="David"/>
          <w:sz w:val="24"/>
          <w:szCs w:val="24"/>
          <w:rtl/>
        </w:rPr>
        <w:t xml:space="preserve"> </w:t>
      </w:r>
    </w:p>
    <w:p w:rsidR="00FA7A9E" w:rsidRPr="00CF10B0" w:rsidRDefault="00FA7A9E" w:rsidP="00B94DDA">
      <w:pPr>
        <w:pStyle w:val="ad"/>
        <w:numPr>
          <w:ilvl w:val="0"/>
          <w:numId w:val="4"/>
        </w:numPr>
        <w:spacing w:line="360" w:lineRule="auto"/>
        <w:ind w:left="708" w:hanging="425"/>
        <w:jc w:val="both"/>
        <w:rPr>
          <w:rFonts w:ascii="David" w:hAnsi="David" w:cs="David"/>
          <w:sz w:val="24"/>
          <w:szCs w:val="24"/>
        </w:rPr>
      </w:pPr>
      <w:r w:rsidRPr="00CF10B0">
        <w:rPr>
          <w:rFonts w:ascii="David" w:hAnsi="David" w:cs="David"/>
          <w:sz w:val="24"/>
          <w:szCs w:val="24"/>
          <w:rtl/>
        </w:rPr>
        <w:t>עורך הצוואה, עוה"ד הוברמן, הבהיר במייל ששלח ביולי 2019 כי צוואת 2009 איננה צוואה הדדית</w:t>
      </w:r>
      <w:r w:rsidR="00B94DDA" w:rsidRPr="00CF10B0">
        <w:rPr>
          <w:rFonts w:ascii="David" w:hAnsi="David" w:cs="David" w:hint="cs"/>
          <w:sz w:val="24"/>
          <w:szCs w:val="24"/>
          <w:rtl/>
        </w:rPr>
        <w:t xml:space="preserve">. תוך שצוין בה במפורש כי ניתן להחליפה </w:t>
      </w:r>
      <w:r w:rsidRPr="00CF10B0">
        <w:rPr>
          <w:rFonts w:ascii="David" w:hAnsi="David" w:cs="David"/>
          <w:sz w:val="24"/>
          <w:szCs w:val="24"/>
          <w:rtl/>
        </w:rPr>
        <w:t>בצוואה מאוחרת יותר; המתנגדות בחרו שלא לזמן את עו"ד הוברמן לחקירה והימנעות זו נזקפת לחובתם. המתנגדות אישרו את קבלת המייל משנת 2019 כתחליף לעדותו של עורך הצוואה וזאת אושר על ידי ביהמ"ש.</w:t>
      </w:r>
    </w:p>
    <w:p w:rsidR="00FA7A9E" w:rsidRPr="00CF10B0" w:rsidRDefault="00FA7A9E" w:rsidP="00FA7A9E">
      <w:pPr>
        <w:pStyle w:val="ad"/>
        <w:numPr>
          <w:ilvl w:val="0"/>
          <w:numId w:val="4"/>
        </w:numPr>
        <w:spacing w:line="360" w:lineRule="auto"/>
        <w:ind w:left="708" w:hanging="425"/>
        <w:jc w:val="both"/>
        <w:rPr>
          <w:rFonts w:ascii="David" w:hAnsi="David" w:cs="David"/>
          <w:sz w:val="24"/>
          <w:szCs w:val="24"/>
        </w:rPr>
      </w:pPr>
      <w:r w:rsidRPr="00CF10B0">
        <w:rPr>
          <w:rFonts w:ascii="David" w:hAnsi="David" w:cs="David"/>
          <w:sz w:val="24"/>
          <w:szCs w:val="24"/>
          <w:rtl/>
        </w:rPr>
        <w:lastRenderedPageBreak/>
        <w:t xml:space="preserve">סעיף 1 לצוואת המנוחה משנת 2009, מהווה 'הוראה אחרת' וכאמור בסעיף 8 (א)(ג) לחוק הירושה; בסעיף זה משמרת המנוחה את זכותה לשנות את צוואתה בעתיד, ללא היזקקות להסדר הקבוע בחוק הירושה ובתיקון מס' 12. </w:t>
      </w:r>
    </w:p>
    <w:p w:rsidR="00FA7A9E" w:rsidRPr="00CF10B0" w:rsidRDefault="00FA7A9E" w:rsidP="00FA7A9E">
      <w:pPr>
        <w:pStyle w:val="ad"/>
        <w:numPr>
          <w:ilvl w:val="0"/>
          <w:numId w:val="4"/>
        </w:numPr>
        <w:spacing w:line="360" w:lineRule="auto"/>
        <w:ind w:left="708" w:hanging="425"/>
        <w:jc w:val="both"/>
        <w:rPr>
          <w:rFonts w:ascii="David" w:hAnsi="David" w:cs="David"/>
          <w:sz w:val="24"/>
          <w:szCs w:val="24"/>
        </w:rPr>
      </w:pPr>
      <w:r w:rsidRPr="00CF10B0">
        <w:rPr>
          <w:rFonts w:ascii="David" w:hAnsi="David" w:cs="David"/>
          <w:sz w:val="24"/>
          <w:szCs w:val="24"/>
          <w:rtl/>
        </w:rPr>
        <w:t xml:space="preserve">בצוואת 2009, ישנו הסדר של 'יורש </w:t>
      </w:r>
      <w:r w:rsidRPr="00CF10B0">
        <w:rPr>
          <w:rFonts w:ascii="David" w:hAnsi="David" w:cs="David"/>
          <w:sz w:val="24"/>
          <w:szCs w:val="24"/>
          <w:u w:val="single"/>
          <w:rtl/>
        </w:rPr>
        <w:t>במקום</w:t>
      </w:r>
      <w:r w:rsidRPr="00CF10B0">
        <w:rPr>
          <w:rFonts w:ascii="David" w:hAnsi="David" w:cs="David"/>
          <w:sz w:val="24"/>
          <w:szCs w:val="24"/>
          <w:rtl/>
        </w:rPr>
        <w:t xml:space="preserve"> יורש' וכמפורט בסעיף 3 לצוואת 2009: </w:t>
      </w:r>
      <w:r w:rsidRPr="00CF10B0">
        <w:rPr>
          <w:rFonts w:ascii="David" w:hAnsi="David" w:cs="David"/>
          <w:b/>
          <w:bCs/>
          <w:sz w:val="24"/>
          <w:szCs w:val="24"/>
          <w:rtl/>
        </w:rPr>
        <w:t xml:space="preserve">" באם ברגע פטירתי, לא יהיה בעלי הנ"ל בין החיים, הנני מצווה ומורישה את כל רכושי וזכויותיי בשלמות ובחלקים שווים ל- 4 נכדיי:..". </w:t>
      </w:r>
    </w:p>
    <w:p w:rsidR="00FA7A9E" w:rsidRPr="00CF10B0" w:rsidRDefault="00FA7A9E" w:rsidP="00FA7A9E">
      <w:pPr>
        <w:pStyle w:val="ad"/>
        <w:spacing w:line="360" w:lineRule="auto"/>
        <w:ind w:left="708"/>
        <w:jc w:val="both"/>
        <w:rPr>
          <w:rFonts w:ascii="David" w:hAnsi="David" w:cs="David"/>
          <w:sz w:val="24"/>
          <w:szCs w:val="24"/>
          <w:rtl/>
        </w:rPr>
      </w:pPr>
      <w:r w:rsidRPr="00CF10B0">
        <w:rPr>
          <w:rFonts w:ascii="David" w:hAnsi="David" w:cs="David"/>
          <w:sz w:val="24"/>
          <w:szCs w:val="24"/>
          <w:rtl/>
        </w:rPr>
        <w:t>אין חולק כי בצוואת 2009 המנוחה ציוותה הרכוש לבעלה (היורש) ובאם לא יהיה בין החיים- לנכדיה קרי, יורש במקום יורש; לטענת התובעת, בצוואות הדדיות מקובל ונהוג לצוות בהסדר של 'יורש אחר יורש' – לאחר פטירת היורש הראשון (בן הזוג במקרה זה) יעבור הרכוש ליורש השני. העובדה כי במקרה דנן אין המדובר בהסדר של יורש אחר יורש, זו ראיה נוספת לכך שצוואת 2009, איננה צוואה הדדית.</w:t>
      </w:r>
    </w:p>
    <w:p w:rsidR="00FA7A9E" w:rsidRPr="00CF10B0" w:rsidRDefault="00FA7A9E" w:rsidP="00FA7A9E">
      <w:pPr>
        <w:pStyle w:val="ad"/>
        <w:spacing w:line="360" w:lineRule="auto"/>
        <w:ind w:left="708"/>
        <w:jc w:val="both"/>
        <w:rPr>
          <w:rFonts w:ascii="David" w:hAnsi="David" w:cs="David"/>
          <w:sz w:val="24"/>
          <w:szCs w:val="24"/>
          <w:rtl/>
        </w:rPr>
      </w:pPr>
      <w:r w:rsidRPr="00CF10B0">
        <w:rPr>
          <w:rFonts w:ascii="David" w:hAnsi="David" w:cs="David"/>
          <w:sz w:val="24"/>
          <w:szCs w:val="24"/>
          <w:rtl/>
        </w:rPr>
        <w:t xml:space="preserve">בהינתן כי בצוואת 2009 של המנוח ישנו הסדר של יורש </w:t>
      </w:r>
      <w:r w:rsidRPr="00CF10B0">
        <w:rPr>
          <w:rFonts w:ascii="David" w:hAnsi="David" w:cs="David"/>
          <w:sz w:val="24"/>
          <w:szCs w:val="24"/>
          <w:u w:val="single"/>
          <w:rtl/>
        </w:rPr>
        <w:t>במקום</w:t>
      </w:r>
      <w:r w:rsidRPr="00CF10B0">
        <w:rPr>
          <w:rFonts w:ascii="David" w:hAnsi="David" w:cs="David"/>
          <w:sz w:val="24"/>
          <w:szCs w:val="24"/>
          <w:rtl/>
        </w:rPr>
        <w:t xml:space="preserve"> יורש- הרי ההסדר לפיו המתנגדות ירשו בפטירת בן הזוג מוצה, תם ונשלם. </w:t>
      </w:r>
    </w:p>
    <w:p w:rsidR="00FA7A9E" w:rsidRPr="00CF10B0" w:rsidRDefault="00FA7A9E" w:rsidP="00FA7A9E">
      <w:pPr>
        <w:pStyle w:val="ad"/>
        <w:spacing w:line="360" w:lineRule="auto"/>
        <w:ind w:left="708"/>
        <w:jc w:val="both"/>
        <w:rPr>
          <w:rFonts w:ascii="David" w:hAnsi="David" w:cs="David"/>
          <w:sz w:val="24"/>
          <w:szCs w:val="24"/>
        </w:rPr>
      </w:pPr>
      <w:r w:rsidRPr="00CF10B0">
        <w:rPr>
          <w:rFonts w:ascii="David" w:hAnsi="David" w:cs="David"/>
          <w:sz w:val="24"/>
          <w:szCs w:val="24"/>
          <w:rtl/>
        </w:rPr>
        <w:t>משעה שהמנוח הלך לעולמו בשנת 2013 וצוואתו קוימה- מלוא רכושו עבר למנוחה ובזאת נשלמה ההורשה- אין למתנגדות כל זכות ירושה (כפי שאפשרי ביורש במקום יורש) והמנוחה יכולה היתה להעביר את הרכוש שקיבלה הן בחייה והן בדרך של הורשה וכך היא עשתה.</w:t>
      </w:r>
    </w:p>
    <w:p w:rsidR="00FA7A9E" w:rsidRPr="00CF10B0" w:rsidRDefault="00FA7A9E" w:rsidP="00FA7A9E">
      <w:pPr>
        <w:pStyle w:val="ad"/>
        <w:spacing w:line="360" w:lineRule="auto"/>
        <w:ind w:left="708"/>
        <w:jc w:val="both"/>
        <w:rPr>
          <w:rFonts w:ascii="David" w:hAnsi="David" w:cs="David"/>
          <w:sz w:val="24"/>
          <w:szCs w:val="24"/>
        </w:rPr>
      </w:pPr>
    </w:p>
    <w:p w:rsidR="00FA7A9E" w:rsidRPr="003B696A" w:rsidRDefault="00FA7A9E" w:rsidP="00FA7A9E">
      <w:pPr>
        <w:pStyle w:val="ad"/>
        <w:numPr>
          <w:ilvl w:val="0"/>
          <w:numId w:val="3"/>
        </w:numPr>
        <w:spacing w:line="360" w:lineRule="auto"/>
        <w:ind w:left="283" w:hanging="283"/>
        <w:jc w:val="both"/>
        <w:rPr>
          <w:rFonts w:ascii="David" w:hAnsi="David" w:cs="David"/>
          <w:sz w:val="24"/>
          <w:szCs w:val="24"/>
        </w:rPr>
      </w:pPr>
      <w:r w:rsidRPr="00CF10B0">
        <w:rPr>
          <w:rFonts w:ascii="David" w:hAnsi="David" w:cs="David"/>
          <w:sz w:val="24"/>
          <w:szCs w:val="24"/>
          <w:rtl/>
        </w:rPr>
        <w:t xml:space="preserve"> המנוחה ערכה את צוואתה המאוחרת בשנת 2012, כשהיא במצב </w:t>
      </w:r>
      <w:r w:rsidR="00105C00" w:rsidRPr="00CF10B0">
        <w:rPr>
          <w:rFonts w:ascii="David" w:hAnsi="David" w:cs="David" w:hint="cs"/>
          <w:sz w:val="24"/>
          <w:szCs w:val="24"/>
          <w:rtl/>
        </w:rPr>
        <w:t>קוגניטיב</w:t>
      </w:r>
      <w:r w:rsidR="00105C00" w:rsidRPr="00CF10B0">
        <w:rPr>
          <w:rFonts w:ascii="David" w:hAnsi="David" w:cs="David" w:hint="eastAsia"/>
          <w:sz w:val="24"/>
          <w:szCs w:val="24"/>
          <w:rtl/>
        </w:rPr>
        <w:t>י</w:t>
      </w:r>
      <w:r w:rsidRPr="00CF10B0">
        <w:rPr>
          <w:rFonts w:ascii="David" w:hAnsi="David" w:cs="David"/>
          <w:sz w:val="24"/>
          <w:szCs w:val="24"/>
          <w:rtl/>
        </w:rPr>
        <w:t xml:space="preserve"> טוב ובחרה לעשות כך בהבנה מלאה וברי כי לא היתה</w:t>
      </w:r>
      <w:r w:rsidRPr="003B696A">
        <w:rPr>
          <w:rFonts w:ascii="David" w:hAnsi="David" w:cs="David"/>
          <w:sz w:val="24"/>
          <w:szCs w:val="24"/>
          <w:rtl/>
        </w:rPr>
        <w:t xml:space="preserve"> תחת השפעה כלשהי. </w:t>
      </w:r>
    </w:p>
    <w:p w:rsidR="00FA7A9E" w:rsidRPr="003B696A" w:rsidRDefault="00FA7A9E" w:rsidP="00F857B6">
      <w:pPr>
        <w:pStyle w:val="ad"/>
        <w:spacing w:line="360" w:lineRule="auto"/>
        <w:ind w:left="283"/>
        <w:jc w:val="both"/>
        <w:rPr>
          <w:rFonts w:ascii="David" w:hAnsi="David" w:cs="David"/>
          <w:sz w:val="24"/>
          <w:szCs w:val="24"/>
          <w:rtl/>
        </w:rPr>
      </w:pPr>
      <w:r w:rsidRPr="003B696A">
        <w:rPr>
          <w:rFonts w:ascii="David" w:hAnsi="David" w:cs="David"/>
          <w:sz w:val="24"/>
          <w:szCs w:val="24"/>
          <w:rtl/>
        </w:rPr>
        <w:t>צוואת 2</w:t>
      </w:r>
      <w:r w:rsidR="00B94DDA">
        <w:rPr>
          <w:rFonts w:ascii="David" w:hAnsi="David" w:cs="David"/>
          <w:sz w:val="24"/>
          <w:szCs w:val="24"/>
          <w:rtl/>
        </w:rPr>
        <w:t>012 משקפת באופן שאינו משתמע לש</w:t>
      </w:r>
      <w:r w:rsidR="00B94DDA">
        <w:rPr>
          <w:rFonts w:ascii="David" w:hAnsi="David" w:cs="David" w:hint="cs"/>
          <w:sz w:val="24"/>
          <w:szCs w:val="24"/>
          <w:rtl/>
        </w:rPr>
        <w:t>נ</w:t>
      </w:r>
      <w:r w:rsidRPr="003B696A">
        <w:rPr>
          <w:rFonts w:ascii="David" w:hAnsi="David" w:cs="David"/>
          <w:sz w:val="24"/>
          <w:szCs w:val="24"/>
          <w:rtl/>
        </w:rPr>
        <w:t>י פנים את רצונה של המנוחה להוריש את רכושה בהתאם למצב המשפחתי שהתקיים באותה עת</w:t>
      </w:r>
      <w:r w:rsidR="009757ED" w:rsidRPr="00F857B6">
        <w:rPr>
          <w:rFonts w:ascii="David" w:hAnsi="David" w:cs="David" w:hint="cs"/>
          <w:sz w:val="24"/>
          <w:szCs w:val="24"/>
          <w:rtl/>
        </w:rPr>
        <w:t xml:space="preserve">. </w:t>
      </w:r>
      <w:r w:rsidR="00B94DDA" w:rsidRPr="00F857B6">
        <w:rPr>
          <w:rFonts w:ascii="David" w:hAnsi="David" w:cs="David" w:hint="cs"/>
          <w:sz w:val="24"/>
          <w:szCs w:val="24"/>
          <w:rtl/>
        </w:rPr>
        <w:t xml:space="preserve">התנהגות </w:t>
      </w:r>
      <w:r w:rsidRPr="00F857B6">
        <w:rPr>
          <w:rFonts w:ascii="David" w:hAnsi="David" w:cs="David"/>
          <w:sz w:val="24"/>
          <w:szCs w:val="24"/>
          <w:rtl/>
        </w:rPr>
        <w:t xml:space="preserve">בלתי נורמטיבית </w:t>
      </w:r>
      <w:r w:rsidR="00F857B6">
        <w:rPr>
          <w:rFonts w:ascii="David" w:hAnsi="David" w:cs="David" w:hint="cs"/>
          <w:sz w:val="24"/>
          <w:szCs w:val="24"/>
          <w:rtl/>
        </w:rPr>
        <w:t xml:space="preserve">של </w:t>
      </w:r>
      <w:r w:rsidR="009757ED">
        <w:rPr>
          <w:rFonts w:ascii="David" w:hAnsi="David" w:cs="David" w:hint="cs"/>
          <w:sz w:val="24"/>
          <w:szCs w:val="24"/>
          <w:rtl/>
        </w:rPr>
        <w:t xml:space="preserve">המתנגדות </w:t>
      </w:r>
      <w:r w:rsidRPr="003B696A">
        <w:rPr>
          <w:rFonts w:ascii="David" w:hAnsi="David" w:cs="David"/>
          <w:sz w:val="24"/>
          <w:szCs w:val="24"/>
          <w:rtl/>
        </w:rPr>
        <w:t>והתנכרות של</w:t>
      </w:r>
      <w:r w:rsidR="009757ED">
        <w:rPr>
          <w:rFonts w:ascii="David" w:hAnsi="David" w:cs="David" w:hint="cs"/>
          <w:sz w:val="24"/>
          <w:szCs w:val="24"/>
          <w:rtl/>
        </w:rPr>
        <w:t xml:space="preserve">הן למנוחה הן אשר הניעו המנוחה </w:t>
      </w:r>
      <w:r w:rsidRPr="003B696A">
        <w:rPr>
          <w:rFonts w:ascii="David" w:hAnsi="David" w:cs="David"/>
          <w:sz w:val="24"/>
          <w:szCs w:val="24"/>
          <w:rtl/>
        </w:rPr>
        <w:t xml:space="preserve"> להוריש את מלוא עזבונה לבתה היחידה.</w:t>
      </w:r>
    </w:p>
    <w:p w:rsidR="00FA7A9E" w:rsidRPr="003B696A" w:rsidRDefault="00FA7A9E" w:rsidP="00FA7A9E">
      <w:pPr>
        <w:pStyle w:val="ad"/>
        <w:spacing w:line="360" w:lineRule="auto"/>
        <w:ind w:left="283"/>
        <w:jc w:val="both"/>
        <w:rPr>
          <w:rFonts w:ascii="David" w:hAnsi="David" w:cs="David"/>
          <w:sz w:val="24"/>
          <w:szCs w:val="24"/>
          <w:rtl/>
        </w:rPr>
      </w:pPr>
    </w:p>
    <w:p w:rsidR="00FA7A9E" w:rsidRPr="003B696A" w:rsidRDefault="00FA7A9E" w:rsidP="00FA7A9E">
      <w:pPr>
        <w:pStyle w:val="ad"/>
        <w:spacing w:line="360" w:lineRule="auto"/>
        <w:ind w:left="283"/>
        <w:jc w:val="both"/>
        <w:rPr>
          <w:rFonts w:ascii="David" w:hAnsi="David" w:cs="David"/>
          <w:sz w:val="24"/>
          <w:szCs w:val="24"/>
          <w:rtl/>
        </w:rPr>
      </w:pPr>
      <w:r w:rsidRPr="003B696A">
        <w:rPr>
          <w:rFonts w:ascii="David" w:hAnsi="David" w:cs="David"/>
          <w:sz w:val="24"/>
          <w:szCs w:val="24"/>
          <w:rtl/>
        </w:rPr>
        <w:t xml:space="preserve">למנוחה היתה 'תעוקה' וכאב לב נוכח התנכרות המתנגדות כלפיה באותה עת והיא הביעה זאת בפני העו"ס בקהילה: </w:t>
      </w:r>
    </w:p>
    <w:p w:rsidR="00FA7A9E" w:rsidRPr="003B696A" w:rsidRDefault="00FA7A9E" w:rsidP="00FA7A9E">
      <w:pPr>
        <w:pStyle w:val="ad"/>
        <w:spacing w:line="360" w:lineRule="auto"/>
        <w:ind w:left="283"/>
        <w:jc w:val="both"/>
        <w:rPr>
          <w:rFonts w:ascii="David" w:hAnsi="David" w:cs="David"/>
          <w:sz w:val="24"/>
          <w:szCs w:val="24"/>
          <w:rtl/>
        </w:rPr>
      </w:pPr>
      <w:r w:rsidRPr="003B696A">
        <w:rPr>
          <w:rFonts w:ascii="David" w:hAnsi="David" w:cs="David"/>
          <w:sz w:val="24"/>
          <w:szCs w:val="24"/>
          <w:rtl/>
        </w:rPr>
        <w:t xml:space="preserve">במסגרת תיק א"פ 3125-11-11, עתרה התובעת למנותה כאפוטרופוס לגוף אביה (המנוח). </w:t>
      </w:r>
    </w:p>
    <w:p w:rsidR="00FA7A9E" w:rsidRPr="003B696A" w:rsidRDefault="00FA7A9E" w:rsidP="00FA7A9E">
      <w:pPr>
        <w:pStyle w:val="ad"/>
        <w:spacing w:line="360" w:lineRule="auto"/>
        <w:ind w:left="283"/>
        <w:jc w:val="both"/>
        <w:rPr>
          <w:rFonts w:ascii="David" w:hAnsi="David" w:cs="David"/>
          <w:sz w:val="24"/>
          <w:szCs w:val="24"/>
          <w:rtl/>
        </w:rPr>
      </w:pPr>
      <w:r w:rsidRPr="003B696A">
        <w:rPr>
          <w:rFonts w:ascii="David" w:hAnsi="David" w:cs="David"/>
          <w:sz w:val="24"/>
          <w:szCs w:val="24"/>
          <w:rtl/>
        </w:rPr>
        <w:t xml:space="preserve">ביום 07.05.2012 הוגש תסקיר עו"ס ממחלקת הרווחה ברמת גן, בו הומלץ על מינוי התובעת כאפוטרופוס לאביה וכאמור. </w:t>
      </w:r>
    </w:p>
    <w:p w:rsidR="00FA7A9E" w:rsidRPr="003B696A" w:rsidRDefault="00FA7A9E" w:rsidP="00FA7A9E">
      <w:pPr>
        <w:pStyle w:val="ad"/>
        <w:spacing w:line="360" w:lineRule="auto"/>
        <w:ind w:left="283"/>
        <w:jc w:val="both"/>
        <w:rPr>
          <w:rFonts w:ascii="David" w:hAnsi="David" w:cs="David"/>
          <w:rtl/>
        </w:rPr>
      </w:pPr>
      <w:r w:rsidRPr="003B696A">
        <w:rPr>
          <w:rFonts w:ascii="David" w:hAnsi="David" w:cs="David"/>
          <w:sz w:val="24"/>
          <w:szCs w:val="24"/>
          <w:rtl/>
        </w:rPr>
        <w:t>העו"ס אשר ערכה ביקור בית ופגשה את המנוח ואת המנוחה, התייחסה למארג המשפחתי וכדקלמן:</w:t>
      </w:r>
    </w:p>
    <w:p w:rsidR="00FA7A9E" w:rsidRPr="003B696A" w:rsidRDefault="00FA7A9E" w:rsidP="00FA7A9E">
      <w:pPr>
        <w:pStyle w:val="ad"/>
        <w:spacing w:line="360" w:lineRule="auto"/>
        <w:ind w:left="283"/>
        <w:jc w:val="both"/>
        <w:rPr>
          <w:rFonts w:ascii="David" w:hAnsi="David" w:cs="David"/>
          <w:rtl/>
        </w:rPr>
      </w:pPr>
    </w:p>
    <w:p w:rsidR="00FA7A9E" w:rsidRPr="003B696A" w:rsidRDefault="00FA7A9E" w:rsidP="00C6477D">
      <w:pPr>
        <w:pStyle w:val="ad"/>
        <w:spacing w:line="360" w:lineRule="auto"/>
        <w:ind w:left="283" w:hanging="567"/>
        <w:jc w:val="both"/>
        <w:rPr>
          <w:rFonts w:ascii="David" w:hAnsi="David" w:cs="David"/>
          <w:sz w:val="24"/>
          <w:szCs w:val="24"/>
          <w:rtl/>
        </w:rPr>
      </w:pPr>
    </w:p>
    <w:p w:rsidR="00FA7A9E" w:rsidRPr="003B696A" w:rsidRDefault="00FA7A9E" w:rsidP="00FA7A9E">
      <w:pPr>
        <w:pStyle w:val="ad"/>
        <w:spacing w:line="360" w:lineRule="auto"/>
        <w:ind w:left="283"/>
        <w:jc w:val="both"/>
        <w:rPr>
          <w:rFonts w:ascii="David" w:hAnsi="David" w:cs="David"/>
          <w:sz w:val="24"/>
          <w:szCs w:val="24"/>
          <w:rtl/>
        </w:rPr>
      </w:pPr>
    </w:p>
    <w:p w:rsidR="00FA7A9E" w:rsidRPr="003B696A" w:rsidRDefault="00FA7A9E" w:rsidP="00FA7A9E">
      <w:pPr>
        <w:pStyle w:val="ad"/>
        <w:spacing w:line="360" w:lineRule="auto"/>
        <w:ind w:left="283"/>
        <w:jc w:val="both"/>
        <w:rPr>
          <w:rFonts w:ascii="David" w:hAnsi="David" w:cs="David"/>
          <w:sz w:val="24"/>
          <w:szCs w:val="24"/>
          <w:rtl/>
        </w:rPr>
      </w:pPr>
      <w:r w:rsidRPr="003B696A">
        <w:rPr>
          <w:rFonts w:ascii="David" w:hAnsi="David" w:cs="David"/>
          <w:sz w:val="24"/>
          <w:szCs w:val="24"/>
          <w:rtl/>
        </w:rPr>
        <w:lastRenderedPageBreak/>
        <w:t>להזכיר כי הצוואה שהוגשה לקיום הינה מיום 10.05.2012, קרי התסקיר המצוטט לעיל נערך באותו החודש בו נערכה הצוואה ומשכך המדובר בשיקוף המצב המשפחתי בסמוך למועד עריכת צוואת 2012.</w:t>
      </w:r>
    </w:p>
    <w:p w:rsidR="00FA7A9E" w:rsidRPr="003B696A" w:rsidRDefault="00FA7A9E" w:rsidP="00FA7A9E">
      <w:pPr>
        <w:pStyle w:val="ad"/>
        <w:spacing w:line="360" w:lineRule="auto"/>
        <w:ind w:left="283"/>
        <w:jc w:val="both"/>
        <w:rPr>
          <w:rFonts w:ascii="David" w:hAnsi="David" w:cs="David"/>
          <w:sz w:val="24"/>
          <w:szCs w:val="24"/>
        </w:rPr>
      </w:pPr>
    </w:p>
    <w:p w:rsidR="00FA7A9E" w:rsidRDefault="00FA7A9E" w:rsidP="00FA7A9E">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 התובעת טענה כי המתנגדות עשו שימוש לרעה בסדרי הדין, לא מילאו אחר החלטות ביהמ"ש והתנהלו בניגוד לתקנות ובהעדר תום לב מובהק (וראה סעיפים 54-103 לסיכומי התובעת). </w:t>
      </w:r>
    </w:p>
    <w:p w:rsidR="009757ED" w:rsidRPr="003B696A" w:rsidRDefault="009757ED" w:rsidP="009757ED">
      <w:pPr>
        <w:pStyle w:val="ad"/>
        <w:spacing w:line="360" w:lineRule="auto"/>
        <w:ind w:left="283"/>
        <w:jc w:val="both"/>
        <w:rPr>
          <w:rFonts w:ascii="David" w:hAnsi="David" w:cs="David"/>
          <w:sz w:val="24"/>
          <w:szCs w:val="24"/>
        </w:rPr>
      </w:pPr>
    </w:p>
    <w:p w:rsidR="00FA7A9E" w:rsidRPr="003B696A" w:rsidRDefault="00FA7A9E" w:rsidP="00FA7A9E">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 התובעת מבקשת להתעלם מטענות המתנגדות בדבר 'שיתוף הפעולה של ילדי התובעת עם המתנגדות' הם המשיבים הפורמאליים. מפנה התובעת לכך שאין המדובר בנתונים רלוונטיים למחלוקת המשפטית. לא זו אף זו מפנה התובעת לעובדה כי אימן של המתנגדות, הורתה בצוואתה כי התובעת היא זו שתקבל על המתנגדות משמורת אם יקרה לה משהו ותדאג להן (ראה הצוואה שצורפה כנספח 10 לסיכומי התובעת).</w:t>
      </w:r>
    </w:p>
    <w:p w:rsidR="00FA7A9E" w:rsidRPr="003B696A" w:rsidRDefault="00FA7A9E" w:rsidP="00FA7A9E">
      <w:pPr>
        <w:pStyle w:val="ad"/>
        <w:spacing w:line="360" w:lineRule="auto"/>
        <w:ind w:left="283"/>
        <w:jc w:val="both"/>
        <w:rPr>
          <w:rFonts w:ascii="David" w:hAnsi="David" w:cs="David"/>
          <w:sz w:val="24"/>
          <w:szCs w:val="24"/>
        </w:rPr>
      </w:pPr>
    </w:p>
    <w:p w:rsidR="00FA7A9E" w:rsidRPr="003B696A" w:rsidRDefault="00FA7A9E" w:rsidP="00FA7A9E">
      <w:pPr>
        <w:pStyle w:val="ad"/>
        <w:numPr>
          <w:ilvl w:val="0"/>
          <w:numId w:val="3"/>
        </w:numPr>
        <w:spacing w:line="360" w:lineRule="auto"/>
        <w:ind w:left="283" w:hanging="283"/>
        <w:jc w:val="both"/>
        <w:rPr>
          <w:rFonts w:ascii="David" w:hAnsi="David" w:cs="David"/>
          <w:sz w:val="24"/>
          <w:szCs w:val="24"/>
        </w:rPr>
      </w:pPr>
      <w:r w:rsidRPr="003B696A">
        <w:rPr>
          <w:rFonts w:ascii="David" w:hAnsi="David" w:cs="David"/>
          <w:sz w:val="24"/>
          <w:szCs w:val="24"/>
          <w:rtl/>
        </w:rPr>
        <w:t xml:space="preserve"> אשר על כן עתרה התובעת לקבוע כי צוואת המנוחה משנת 2009, איננה צוואה הדדית ועל כן רשאית היתה המנוחה לשנותה ולערוך צוואה חדשה. כמו כן עתרה ליתן צו לקיום צוואת המנוחה מיום 10.05.2012 ולחייב המתנגדות בהוצאות על הצד הגבוה.</w:t>
      </w:r>
    </w:p>
    <w:p w:rsidR="00D25ADD" w:rsidRDefault="00D25ADD" w:rsidP="00C27CC2">
      <w:pPr>
        <w:pStyle w:val="ad"/>
        <w:spacing w:line="360" w:lineRule="auto"/>
        <w:ind w:left="283" w:hanging="283"/>
        <w:jc w:val="both"/>
        <w:rPr>
          <w:rFonts w:ascii="David" w:hAnsi="David" w:cs="David"/>
          <w:b/>
          <w:bCs/>
          <w:sz w:val="24"/>
          <w:szCs w:val="24"/>
          <w:u w:val="single"/>
          <w:rtl/>
        </w:rPr>
      </w:pPr>
    </w:p>
    <w:p w:rsidR="00FA7A9E" w:rsidRDefault="00FA7A9E" w:rsidP="00C27CC2">
      <w:pPr>
        <w:pStyle w:val="ad"/>
        <w:spacing w:line="360" w:lineRule="auto"/>
        <w:ind w:left="283" w:hanging="283"/>
        <w:jc w:val="both"/>
        <w:rPr>
          <w:rFonts w:ascii="David" w:hAnsi="David" w:cs="David"/>
          <w:sz w:val="24"/>
          <w:szCs w:val="24"/>
          <w:rtl/>
        </w:rPr>
      </w:pPr>
      <w:r w:rsidRPr="003B696A">
        <w:rPr>
          <w:rFonts w:ascii="David" w:hAnsi="David" w:cs="David"/>
          <w:b/>
          <w:bCs/>
          <w:sz w:val="24"/>
          <w:szCs w:val="24"/>
          <w:u w:val="single"/>
          <w:rtl/>
        </w:rPr>
        <w:t>דיון</w:t>
      </w:r>
    </w:p>
    <w:p w:rsidR="002E0BD3" w:rsidRPr="003B696A" w:rsidRDefault="002E0BD3" w:rsidP="00C27CC2">
      <w:pPr>
        <w:pStyle w:val="ad"/>
        <w:spacing w:line="360" w:lineRule="auto"/>
        <w:ind w:left="283" w:hanging="283"/>
        <w:jc w:val="both"/>
        <w:rPr>
          <w:rFonts w:ascii="David" w:hAnsi="David" w:cs="David"/>
          <w:sz w:val="24"/>
          <w:szCs w:val="24"/>
          <w:rtl/>
        </w:rPr>
      </w:pPr>
    </w:p>
    <w:p w:rsidR="00FA7A9E" w:rsidRPr="002E0BD3" w:rsidRDefault="00FA7A9E" w:rsidP="005D6A33">
      <w:pPr>
        <w:pStyle w:val="ad"/>
        <w:numPr>
          <w:ilvl w:val="0"/>
          <w:numId w:val="3"/>
        </w:numPr>
        <w:spacing w:line="360" w:lineRule="auto"/>
        <w:ind w:left="283" w:hanging="283"/>
        <w:jc w:val="both"/>
        <w:rPr>
          <w:rFonts w:ascii="David" w:hAnsi="David" w:cs="David"/>
          <w:sz w:val="24"/>
          <w:szCs w:val="24"/>
        </w:rPr>
      </w:pPr>
      <w:r w:rsidRPr="003B696A">
        <w:rPr>
          <w:rFonts w:ascii="David" w:hAnsi="David" w:cs="David"/>
          <w:rtl/>
        </w:rPr>
        <w:t xml:space="preserve"> </w:t>
      </w:r>
      <w:r w:rsidRPr="002E0BD3">
        <w:rPr>
          <w:rFonts w:ascii="David" w:hAnsi="David" w:cs="David"/>
          <w:sz w:val="24"/>
          <w:szCs w:val="24"/>
          <w:rtl/>
        </w:rPr>
        <w:t>תכלית עיקרית בבסיסו של חוק הירושה</w:t>
      </w:r>
      <w:r w:rsidRPr="002E0BD3">
        <w:rPr>
          <w:rFonts w:ascii="David" w:hAnsi="David" w:cs="David"/>
          <w:b/>
          <w:bCs/>
          <w:sz w:val="24"/>
          <w:szCs w:val="24"/>
          <w:rtl/>
        </w:rPr>
        <w:t xml:space="preserve">, </w:t>
      </w:r>
      <w:r w:rsidRPr="002E0BD3">
        <w:rPr>
          <w:rFonts w:ascii="David" w:hAnsi="David" w:cs="David"/>
          <w:sz w:val="24"/>
          <w:szCs w:val="24"/>
          <w:rtl/>
        </w:rPr>
        <w:t xml:space="preserve">היא קיום רצון הנפטר. </w:t>
      </w:r>
    </w:p>
    <w:p w:rsidR="00FA7A9E" w:rsidRPr="002E0BD3" w:rsidRDefault="00FA7A9E" w:rsidP="005D6A33">
      <w:pPr>
        <w:pStyle w:val="ad"/>
        <w:spacing w:line="360" w:lineRule="auto"/>
        <w:ind w:left="283"/>
        <w:jc w:val="both"/>
        <w:rPr>
          <w:rFonts w:ascii="David" w:hAnsi="David" w:cs="David"/>
          <w:sz w:val="24"/>
          <w:szCs w:val="24"/>
          <w:rtl/>
        </w:rPr>
      </w:pPr>
      <w:r w:rsidRPr="002E0BD3">
        <w:rPr>
          <w:rFonts w:ascii="David" w:hAnsi="David" w:cs="David"/>
          <w:sz w:val="24"/>
          <w:szCs w:val="24"/>
          <w:rtl/>
        </w:rPr>
        <w:t>"</w:t>
      </w:r>
      <w:r w:rsidRPr="002E0BD3">
        <w:rPr>
          <w:rFonts w:ascii="David" w:hAnsi="David" w:cs="David"/>
          <w:b/>
          <w:bCs/>
          <w:sz w:val="24"/>
          <w:szCs w:val="24"/>
          <w:rtl/>
        </w:rPr>
        <w:t xml:space="preserve">ביסוד הצוואה עומד רצונו של המצווה, בלא שקיימת ציפייה של היורשים (או של אחרים) שיש להגן עליה. אין הסתמכות שיש להביאה בחשבון. ייחוד זה של הצוואה מוביל למסקנה, כי אם המצווה אמר את דברו וחילק את רכושו, יש לכבד רצון זה </w:t>
      </w:r>
      <w:r w:rsidRPr="002E0BD3">
        <w:rPr>
          <w:rFonts w:ascii="David" w:hAnsi="David" w:cs="David"/>
          <w:sz w:val="24"/>
          <w:szCs w:val="24"/>
          <w:rtl/>
        </w:rPr>
        <w:t>...</w:t>
      </w:r>
      <w:r w:rsidRPr="002E0BD3">
        <w:rPr>
          <w:rFonts w:ascii="David" w:hAnsi="David" w:cs="David"/>
          <w:b/>
          <w:bCs/>
          <w:sz w:val="24"/>
          <w:szCs w:val="24"/>
          <w:rtl/>
        </w:rPr>
        <w:t xml:space="preserve"> "יכול אדם לעשות שקר בנפשו בכל ימי חייו: לגנוב, לגזול, לשדוד, לרמות </w:t>
      </w:r>
      <w:r w:rsidRPr="002E0BD3">
        <w:rPr>
          <w:rFonts w:ascii="David" w:hAnsi="David" w:cs="David"/>
          <w:sz w:val="24"/>
          <w:szCs w:val="24"/>
          <w:rtl/>
        </w:rPr>
        <w:t>...</w:t>
      </w:r>
      <w:r w:rsidRPr="002E0BD3">
        <w:rPr>
          <w:rFonts w:ascii="David" w:hAnsi="David" w:cs="David"/>
          <w:b/>
          <w:bCs/>
          <w:sz w:val="24"/>
          <w:szCs w:val="24"/>
          <w:rtl/>
        </w:rPr>
        <w:t xml:space="preserve"> אולם משישב לכתוב את צוואתו, מיד הוא משלים עם העולם ועם עצמו. הוא עורך מעין חשבון הנפש בינו לבין עצמו, ובינו לבין קונו והצוואה היא המאזן הסופי, הסיכום הכללי של מעשי חייו, בחומר וברוח</w:t>
      </w:r>
      <w:r w:rsidRPr="002E0BD3">
        <w:rPr>
          <w:rFonts w:ascii="David" w:hAnsi="David" w:cs="David"/>
          <w:i/>
          <w:iCs/>
          <w:sz w:val="24"/>
          <w:szCs w:val="24"/>
          <w:rtl/>
        </w:rPr>
        <w:t>".</w:t>
      </w:r>
      <w:r w:rsidRPr="002E0BD3">
        <w:rPr>
          <w:rFonts w:ascii="David" w:hAnsi="David" w:cs="David"/>
          <w:sz w:val="24"/>
          <w:szCs w:val="24"/>
          <w:rtl/>
        </w:rPr>
        <w:t xml:space="preserve"> </w:t>
      </w:r>
    </w:p>
    <w:p w:rsidR="00FA7A9E" w:rsidRPr="002E0BD3" w:rsidRDefault="00FA7A9E" w:rsidP="0045371D">
      <w:pPr>
        <w:pStyle w:val="ad"/>
        <w:spacing w:line="360" w:lineRule="auto"/>
        <w:ind w:left="283"/>
        <w:jc w:val="both"/>
        <w:rPr>
          <w:rFonts w:ascii="David" w:hAnsi="David" w:cs="David"/>
          <w:sz w:val="24"/>
          <w:szCs w:val="24"/>
          <w:rtl/>
        </w:rPr>
      </w:pPr>
      <w:r w:rsidRPr="002E0BD3">
        <w:rPr>
          <w:rFonts w:ascii="David" w:hAnsi="David" w:cs="David"/>
          <w:sz w:val="24"/>
          <w:szCs w:val="24"/>
          <w:rtl/>
        </w:rPr>
        <w:t>א</w:t>
      </w:r>
      <w:r w:rsidR="005D6A33" w:rsidRPr="002E0BD3">
        <w:rPr>
          <w:rFonts w:ascii="David" w:hAnsi="David" w:cs="David"/>
          <w:sz w:val="24"/>
          <w:szCs w:val="24"/>
          <w:rtl/>
        </w:rPr>
        <w:t>הרון</w:t>
      </w:r>
      <w:r w:rsidRPr="002E0BD3">
        <w:rPr>
          <w:rFonts w:ascii="David" w:hAnsi="David" w:cs="David"/>
          <w:sz w:val="24"/>
          <w:szCs w:val="24"/>
        </w:rPr>
        <w:t xml:space="preserve"> </w:t>
      </w:r>
      <w:r w:rsidRPr="002E0BD3">
        <w:rPr>
          <w:rFonts w:ascii="David" w:hAnsi="David" w:cs="David"/>
          <w:sz w:val="24"/>
          <w:szCs w:val="24"/>
          <w:rtl/>
        </w:rPr>
        <w:t xml:space="preserve">ברק </w:t>
      </w:r>
      <w:hyperlink r:id="rId8" w:history="1">
        <w:r w:rsidRPr="00D83E44">
          <w:rPr>
            <w:rStyle w:val="Hyperlink"/>
            <w:rFonts w:ascii="David" w:hAnsi="David" w:cs="David"/>
            <w:b/>
            <w:bCs/>
            <w:color w:val="auto"/>
            <w:sz w:val="24"/>
            <w:szCs w:val="24"/>
            <w:u w:val="none"/>
            <w:rtl/>
          </w:rPr>
          <w:t>פרשנות במשפט</w:t>
        </w:r>
      </w:hyperlink>
      <w:r w:rsidRPr="002E0BD3">
        <w:rPr>
          <w:rFonts w:ascii="David" w:hAnsi="David" w:cs="David"/>
          <w:b/>
          <w:bCs/>
          <w:sz w:val="24"/>
          <w:szCs w:val="24"/>
          <w:rtl/>
        </w:rPr>
        <w:t xml:space="preserve"> </w:t>
      </w:r>
      <w:r w:rsidR="0045371D">
        <w:rPr>
          <w:rFonts w:ascii="David" w:hAnsi="David" w:cs="David"/>
          <w:sz w:val="24"/>
          <w:szCs w:val="24"/>
          <w:u w:val="single"/>
          <w:rtl/>
        </w:rPr>
        <w:t>(כרך</w:t>
      </w:r>
      <w:r w:rsidR="0045371D">
        <w:rPr>
          <w:rFonts w:ascii="David" w:hAnsi="David" w:cs="David" w:hint="cs"/>
          <w:sz w:val="24"/>
          <w:szCs w:val="24"/>
          <w:u w:val="single"/>
          <w:rtl/>
        </w:rPr>
        <w:t xml:space="preserve"> ה',</w:t>
      </w:r>
      <w:r w:rsidRPr="00CB5D52">
        <w:rPr>
          <w:rFonts w:ascii="David" w:hAnsi="David" w:cs="David"/>
          <w:sz w:val="24"/>
          <w:szCs w:val="24"/>
          <w:u w:val="single"/>
          <w:rtl/>
        </w:rPr>
        <w:t xml:space="preserve"> פרשנות הצוואה</w:t>
      </w:r>
      <w:r w:rsidRPr="00CB5D52">
        <w:rPr>
          <w:rFonts w:ascii="David" w:hAnsi="David" w:cs="David"/>
          <w:sz w:val="24"/>
          <w:szCs w:val="24"/>
          <w:rtl/>
        </w:rPr>
        <w:t>)</w:t>
      </w:r>
      <w:r w:rsidRPr="002E0BD3">
        <w:rPr>
          <w:rFonts w:ascii="David" w:hAnsi="David" w:cs="David"/>
          <w:sz w:val="24"/>
          <w:szCs w:val="24"/>
          <w:rtl/>
        </w:rPr>
        <w:t xml:space="preserve"> (</w:t>
      </w:r>
      <w:r w:rsidR="0045371D">
        <w:rPr>
          <w:rFonts w:ascii="David" w:hAnsi="David" w:cs="David" w:hint="cs"/>
          <w:sz w:val="24"/>
          <w:szCs w:val="24"/>
          <w:rtl/>
        </w:rPr>
        <w:t>התשס"א-</w:t>
      </w:r>
      <w:r w:rsidRPr="002E0BD3">
        <w:rPr>
          <w:rFonts w:ascii="David" w:hAnsi="David" w:cs="David"/>
          <w:sz w:val="24"/>
          <w:szCs w:val="24"/>
          <w:rtl/>
        </w:rPr>
        <w:t>2001) בעמ' 58; להלן: "</w:t>
      </w:r>
      <w:r w:rsidR="005E5D73">
        <w:rPr>
          <w:rFonts w:ascii="David" w:hAnsi="David" w:cs="David" w:hint="cs"/>
          <w:b/>
          <w:bCs/>
          <w:sz w:val="24"/>
          <w:szCs w:val="24"/>
          <w:rtl/>
        </w:rPr>
        <w:t xml:space="preserve">א. </w:t>
      </w:r>
      <w:r w:rsidRPr="002E0BD3">
        <w:rPr>
          <w:rFonts w:ascii="David" w:hAnsi="David" w:cs="David"/>
          <w:b/>
          <w:bCs/>
          <w:sz w:val="24"/>
          <w:szCs w:val="24"/>
          <w:rtl/>
        </w:rPr>
        <w:t>ברק</w:t>
      </w:r>
      <w:r w:rsidRPr="002E0BD3">
        <w:rPr>
          <w:rFonts w:ascii="David" w:hAnsi="David" w:cs="David"/>
          <w:sz w:val="24"/>
          <w:szCs w:val="24"/>
          <w:rtl/>
        </w:rPr>
        <w:t xml:space="preserve">"; </w:t>
      </w:r>
      <w:hyperlink r:id="rId9" w:history="1">
        <w:r w:rsidRPr="002E0BD3">
          <w:rPr>
            <w:rStyle w:val="Hyperlink"/>
            <w:rFonts w:ascii="David" w:hAnsi="David" w:cs="David"/>
            <w:color w:val="auto"/>
            <w:sz w:val="24"/>
            <w:szCs w:val="24"/>
            <w:rtl/>
          </w:rPr>
          <w:t>ע"א 119/89</w:t>
        </w:r>
      </w:hyperlink>
      <w:r w:rsidRPr="002E0BD3">
        <w:rPr>
          <w:rFonts w:ascii="David" w:hAnsi="David" w:cs="David"/>
          <w:sz w:val="24"/>
          <w:szCs w:val="24"/>
          <w:rtl/>
        </w:rPr>
        <w:t xml:space="preserve"> </w:t>
      </w:r>
      <w:r w:rsidRPr="00CB5D52">
        <w:rPr>
          <w:rFonts w:ascii="David" w:hAnsi="David" w:cs="David"/>
          <w:b/>
          <w:bCs/>
          <w:sz w:val="24"/>
          <w:szCs w:val="24"/>
          <w:rtl/>
        </w:rPr>
        <w:t>טורנר נ' טורנר</w:t>
      </w:r>
      <w:r w:rsidRPr="002E0BD3">
        <w:rPr>
          <w:rFonts w:ascii="David" w:hAnsi="David" w:cs="David"/>
          <w:sz w:val="24"/>
          <w:szCs w:val="24"/>
          <w:rtl/>
        </w:rPr>
        <w:t xml:space="preserve"> [פורסם בנבו] (24.1.1991).</w:t>
      </w:r>
    </w:p>
    <w:p w:rsidR="00FA7A9E" w:rsidRPr="002E0BD3" w:rsidRDefault="00FA7A9E" w:rsidP="005D6A33">
      <w:pPr>
        <w:pStyle w:val="ad"/>
        <w:spacing w:line="360" w:lineRule="auto"/>
        <w:ind w:left="283" w:hanging="283"/>
        <w:jc w:val="both"/>
        <w:rPr>
          <w:rFonts w:ascii="David" w:hAnsi="David" w:cs="David"/>
          <w:sz w:val="24"/>
          <w:szCs w:val="24"/>
        </w:rPr>
      </w:pPr>
    </w:p>
    <w:p w:rsidR="00FA7A9E" w:rsidRPr="002E0BD3" w:rsidRDefault="00FA7A9E" w:rsidP="005D6A33">
      <w:pPr>
        <w:pStyle w:val="ad"/>
        <w:numPr>
          <w:ilvl w:val="0"/>
          <w:numId w:val="3"/>
        </w:numPr>
        <w:spacing w:after="0" w:line="360" w:lineRule="auto"/>
        <w:ind w:left="283" w:hanging="283"/>
        <w:jc w:val="both"/>
        <w:rPr>
          <w:rFonts w:ascii="David" w:hAnsi="David" w:cs="David"/>
          <w:sz w:val="24"/>
          <w:szCs w:val="24"/>
          <w:rtl/>
        </w:rPr>
      </w:pPr>
      <w:r w:rsidRPr="002E0BD3">
        <w:rPr>
          <w:rFonts w:ascii="David" w:hAnsi="David" w:cs="David"/>
          <w:sz w:val="24"/>
          <w:szCs w:val="24"/>
          <w:rtl/>
        </w:rPr>
        <w:t>המצווה לכבד את רצון המת מהווה חלק מתרבותנו הכללית והמשפטית והוא ביטוי לאוטונומיה של הרצון הפרטי ונגזרת מזכות הקניין המאפשרת לבעל הזכות לפעול ברכושו כרצונו:</w:t>
      </w:r>
    </w:p>
    <w:p w:rsidR="00FA7A9E" w:rsidRDefault="00FA7A9E" w:rsidP="005D6A33">
      <w:pPr>
        <w:pStyle w:val="ad"/>
        <w:spacing w:line="360" w:lineRule="auto"/>
        <w:ind w:left="283"/>
        <w:jc w:val="both"/>
        <w:rPr>
          <w:rFonts w:ascii="David" w:hAnsi="David" w:cs="David"/>
          <w:sz w:val="24"/>
          <w:szCs w:val="24"/>
          <w:rtl/>
        </w:rPr>
      </w:pPr>
      <w:r w:rsidRPr="002E0BD3">
        <w:rPr>
          <w:rFonts w:ascii="David" w:hAnsi="David" w:cs="David"/>
          <w:sz w:val="24"/>
          <w:szCs w:val="24"/>
          <w:rtl/>
        </w:rPr>
        <w:t>"</w:t>
      </w:r>
      <w:r w:rsidRPr="002E0BD3">
        <w:rPr>
          <w:rFonts w:ascii="David" w:hAnsi="David" w:cs="David"/>
          <w:b/>
          <w:bCs/>
          <w:sz w:val="24"/>
          <w:szCs w:val="24"/>
          <w:rtl/>
        </w:rPr>
        <w:t xml:space="preserve">אומד דעת המצווה הוא "מלכת הצוואה" ו"כוכב הצפון" המצריך אותנו בהבנתה. לאומד דעתו של המצווה – לכוונתו, לרצונו האמתי יש לתת משקל מכריע בפרשנות הצוואה. הוא "עיקר העיקרים והוא בריח התיכון". הוא "רעיון העל של </w:t>
      </w:r>
      <w:hyperlink r:id="rId10" w:history="1">
        <w:r w:rsidRPr="002E0BD3">
          <w:rPr>
            <w:rStyle w:val="Hyperlink"/>
            <w:rFonts w:ascii="David" w:hAnsi="David" w:cs="David"/>
            <w:b/>
            <w:bCs/>
            <w:color w:val="auto"/>
            <w:sz w:val="24"/>
            <w:szCs w:val="24"/>
            <w:rtl/>
          </w:rPr>
          <w:t>חוק ירושה</w:t>
        </w:r>
      </w:hyperlink>
      <w:r w:rsidRPr="002E0BD3">
        <w:rPr>
          <w:rFonts w:ascii="David" w:hAnsi="David" w:cs="David"/>
          <w:b/>
          <w:bCs/>
          <w:sz w:val="24"/>
          <w:szCs w:val="24"/>
          <w:rtl/>
        </w:rPr>
        <w:t xml:space="preserve">", הוא "מצוות על", הוא "ראשון בין נעלים", הוא "קו היסוד" ו"קו מנחה", הוא "מעיקר שיטתנו" בפרשנות והוראה. על כן, </w:t>
      </w:r>
      <w:r w:rsidRPr="002E0BD3">
        <w:rPr>
          <w:rFonts w:ascii="David" w:hAnsi="David" w:cs="David"/>
          <w:b/>
          <w:bCs/>
          <w:sz w:val="24"/>
          <w:szCs w:val="24"/>
          <w:rtl/>
        </w:rPr>
        <w:lastRenderedPageBreak/>
        <w:t>במאבק העיוני בין התכלית הסובייקטיבית ("אומד דעתו של המצווה") לבין התכלית האובייקטיבית, יד התכלית הסובייקטיבית על העליונה</w:t>
      </w:r>
      <w:r w:rsidRPr="002E0BD3">
        <w:rPr>
          <w:rFonts w:ascii="David" w:hAnsi="David" w:cs="David"/>
          <w:sz w:val="24"/>
          <w:szCs w:val="24"/>
          <w:rtl/>
        </w:rPr>
        <w:t>" [</w:t>
      </w:r>
      <w:r w:rsidR="005E5D73">
        <w:rPr>
          <w:rFonts w:ascii="David" w:hAnsi="David" w:cs="David" w:hint="cs"/>
          <w:b/>
          <w:bCs/>
          <w:sz w:val="24"/>
          <w:szCs w:val="24"/>
          <w:rtl/>
        </w:rPr>
        <w:t xml:space="preserve">א. </w:t>
      </w:r>
      <w:r w:rsidRPr="002E0BD3">
        <w:rPr>
          <w:rFonts w:ascii="David" w:hAnsi="David" w:cs="David"/>
          <w:b/>
          <w:bCs/>
          <w:sz w:val="24"/>
          <w:szCs w:val="24"/>
          <w:rtl/>
        </w:rPr>
        <w:t>ברק</w:t>
      </w:r>
      <w:r w:rsidRPr="002E0BD3">
        <w:rPr>
          <w:rFonts w:ascii="David" w:hAnsi="David" w:cs="David"/>
          <w:sz w:val="24"/>
          <w:szCs w:val="24"/>
          <w:rtl/>
        </w:rPr>
        <w:t xml:space="preserve"> עמ' 59-60; </w:t>
      </w:r>
      <w:hyperlink r:id="rId11" w:history="1">
        <w:r w:rsidRPr="002E0BD3">
          <w:rPr>
            <w:rStyle w:val="Hyperlink"/>
            <w:rFonts w:ascii="David" w:hAnsi="David" w:cs="David"/>
            <w:color w:val="auto"/>
            <w:sz w:val="24"/>
            <w:szCs w:val="24"/>
            <w:rtl/>
          </w:rPr>
          <w:t>ע"א  2698/92</w:t>
        </w:r>
      </w:hyperlink>
      <w:r w:rsidRPr="002E0BD3">
        <w:rPr>
          <w:rFonts w:ascii="David" w:hAnsi="David" w:cs="David"/>
          <w:sz w:val="24"/>
          <w:szCs w:val="24"/>
          <w:rtl/>
        </w:rPr>
        <w:t xml:space="preserve"> </w:t>
      </w:r>
      <w:r w:rsidRPr="00CB5D52">
        <w:rPr>
          <w:rFonts w:ascii="David" w:hAnsi="David" w:cs="David"/>
          <w:b/>
          <w:bCs/>
          <w:sz w:val="24"/>
          <w:szCs w:val="24"/>
          <w:rtl/>
        </w:rPr>
        <w:t>יונה נ' אדלמן</w:t>
      </w:r>
      <w:r w:rsidRPr="00CB5D52">
        <w:rPr>
          <w:rFonts w:ascii="David" w:hAnsi="David" w:cs="David"/>
          <w:sz w:val="24"/>
          <w:szCs w:val="24"/>
          <w:rtl/>
        </w:rPr>
        <w:t xml:space="preserve"> </w:t>
      </w:r>
      <w:r w:rsidRPr="002E0BD3">
        <w:rPr>
          <w:rFonts w:ascii="David" w:hAnsi="David" w:cs="David"/>
          <w:sz w:val="24"/>
          <w:szCs w:val="24"/>
          <w:rtl/>
        </w:rPr>
        <w:t>[פורסם בנבו] (29.06.1994)].</w:t>
      </w:r>
    </w:p>
    <w:p w:rsidR="00445A70" w:rsidRPr="002E0BD3" w:rsidRDefault="00445A70" w:rsidP="005D6A33">
      <w:pPr>
        <w:pStyle w:val="ad"/>
        <w:spacing w:line="360" w:lineRule="auto"/>
        <w:ind w:left="283"/>
        <w:jc w:val="both"/>
        <w:rPr>
          <w:rFonts w:ascii="David" w:hAnsi="David" w:cs="David"/>
          <w:sz w:val="24"/>
          <w:szCs w:val="24"/>
          <w:rtl/>
        </w:rPr>
      </w:pPr>
    </w:p>
    <w:p w:rsidR="00FA7A9E" w:rsidRPr="002E0BD3" w:rsidRDefault="00FA7A9E" w:rsidP="005D6A33">
      <w:pPr>
        <w:pStyle w:val="1"/>
        <w:numPr>
          <w:ilvl w:val="0"/>
          <w:numId w:val="3"/>
        </w:numPr>
        <w:spacing w:after="200" w:line="360" w:lineRule="auto"/>
        <w:ind w:left="283" w:hanging="283"/>
        <w:jc w:val="both"/>
        <w:rPr>
          <w:rFonts w:ascii="David" w:hAnsi="David" w:cs="David"/>
          <w:sz w:val="24"/>
          <w:szCs w:val="24"/>
          <w:rtl/>
        </w:rPr>
      </w:pPr>
      <w:r w:rsidRPr="002E0BD3">
        <w:rPr>
          <w:rFonts w:ascii="David" w:hAnsi="David" w:cs="David"/>
          <w:sz w:val="24"/>
          <w:szCs w:val="24"/>
          <w:rtl/>
        </w:rPr>
        <w:t xml:space="preserve">צוואה התקינה על פניה מבחינה צורנית, עומדת בחזקת כשרות והנטל לפסול אותה מוטל על המתנגד לה. </w:t>
      </w:r>
    </w:p>
    <w:p w:rsidR="00FA7A9E" w:rsidRPr="002E0BD3" w:rsidRDefault="00FA7A9E" w:rsidP="00E65469">
      <w:pPr>
        <w:pStyle w:val="1"/>
        <w:spacing w:line="360" w:lineRule="auto"/>
        <w:ind w:left="283"/>
        <w:jc w:val="both"/>
        <w:rPr>
          <w:rFonts w:ascii="David" w:hAnsi="David" w:cs="David"/>
          <w:sz w:val="24"/>
          <w:szCs w:val="24"/>
          <w:rtl/>
        </w:rPr>
      </w:pPr>
      <w:r w:rsidRPr="002E0BD3">
        <w:rPr>
          <w:rFonts w:ascii="David" w:hAnsi="David" w:cs="David"/>
          <w:sz w:val="24"/>
          <w:szCs w:val="24"/>
          <w:rtl/>
        </w:rPr>
        <w:t>יוצא אפוא כי נטל ההוכחה לקיומה של עילת פסילה לצוואה, מוטל על הטוען לקיומה (</w:t>
      </w:r>
      <w:r w:rsidRPr="00CB5D52">
        <w:rPr>
          <w:rFonts w:ascii="David" w:hAnsi="David" w:cs="David"/>
          <w:sz w:val="24"/>
          <w:szCs w:val="24"/>
          <w:u w:val="single"/>
          <w:rtl/>
        </w:rPr>
        <w:t>ע"א 245/85</w:t>
      </w:r>
      <w:r w:rsidRPr="002E0BD3">
        <w:rPr>
          <w:rFonts w:ascii="David" w:hAnsi="David" w:cs="David"/>
          <w:sz w:val="24"/>
          <w:szCs w:val="24"/>
          <w:rtl/>
        </w:rPr>
        <w:t xml:space="preserve"> </w:t>
      </w:r>
      <w:r w:rsidRPr="00CB5D52">
        <w:rPr>
          <w:rFonts w:ascii="David" w:hAnsi="David" w:cs="David"/>
          <w:b/>
          <w:bCs/>
          <w:sz w:val="24"/>
          <w:szCs w:val="24"/>
          <w:rtl/>
        </w:rPr>
        <w:t>אנגלמן נ' קליין</w:t>
      </w:r>
      <w:r w:rsidRPr="002E0BD3">
        <w:rPr>
          <w:rFonts w:ascii="David" w:hAnsi="David" w:cs="David"/>
          <w:sz w:val="24"/>
          <w:szCs w:val="24"/>
          <w:rtl/>
        </w:rPr>
        <w:t xml:space="preserve">, [פורסם בנבו] (12.06.89 )) וכל ספק בעניין זה פועל לטובתו של מבקש הקיום. </w:t>
      </w:r>
    </w:p>
    <w:p w:rsidR="00FA7A9E" w:rsidRDefault="00FA7A9E" w:rsidP="00E65469">
      <w:pPr>
        <w:pStyle w:val="1"/>
        <w:spacing w:line="360" w:lineRule="auto"/>
        <w:ind w:left="283"/>
        <w:jc w:val="both"/>
        <w:rPr>
          <w:rFonts w:ascii="David" w:hAnsi="David" w:cs="David"/>
          <w:sz w:val="24"/>
          <w:szCs w:val="24"/>
          <w:rtl/>
        </w:rPr>
      </w:pPr>
      <w:r w:rsidRPr="002E0BD3">
        <w:rPr>
          <w:rFonts w:ascii="David" w:hAnsi="David" w:cs="David"/>
          <w:sz w:val="24"/>
          <w:szCs w:val="24"/>
          <w:rtl/>
        </w:rPr>
        <w:t>כמות הראיות שתידרש לעניין זה הינה משמעותית (</w:t>
      </w:r>
      <w:r w:rsidRPr="00CB5D52">
        <w:rPr>
          <w:rFonts w:ascii="David" w:hAnsi="David" w:cs="David"/>
          <w:sz w:val="24"/>
          <w:szCs w:val="24"/>
          <w:u w:val="single"/>
          <w:rtl/>
        </w:rPr>
        <w:t>ע"א 3828/98</w:t>
      </w:r>
      <w:r w:rsidRPr="002E0BD3">
        <w:rPr>
          <w:rFonts w:ascii="David" w:hAnsi="David" w:cs="David"/>
          <w:sz w:val="24"/>
          <w:szCs w:val="24"/>
          <w:rtl/>
        </w:rPr>
        <w:t xml:space="preserve"> </w:t>
      </w:r>
      <w:r w:rsidRPr="00CB5D52">
        <w:rPr>
          <w:rFonts w:ascii="David" w:hAnsi="David" w:cs="David"/>
          <w:b/>
          <w:bCs/>
          <w:sz w:val="24"/>
          <w:szCs w:val="24"/>
          <w:rtl/>
        </w:rPr>
        <w:t>מיכקשווילי נ' מיכקשווילי</w:t>
      </w:r>
      <w:r w:rsidRPr="00CB5D52">
        <w:rPr>
          <w:rFonts w:ascii="David" w:hAnsi="David" w:cs="David"/>
          <w:sz w:val="24"/>
          <w:szCs w:val="24"/>
          <w:rtl/>
        </w:rPr>
        <w:t>,</w:t>
      </w:r>
      <w:r w:rsidRPr="002E0BD3">
        <w:rPr>
          <w:rFonts w:ascii="David" w:hAnsi="David" w:cs="David"/>
          <w:sz w:val="24"/>
          <w:szCs w:val="24"/>
          <w:rtl/>
        </w:rPr>
        <w:t xml:space="preserve"> [פורסם בנבו] (16.03.00).</w:t>
      </w:r>
    </w:p>
    <w:p w:rsidR="00CB5D52" w:rsidRPr="002E0BD3" w:rsidRDefault="00CB5D52" w:rsidP="00E65469">
      <w:pPr>
        <w:pStyle w:val="1"/>
        <w:spacing w:line="360" w:lineRule="auto"/>
        <w:ind w:left="283"/>
        <w:jc w:val="both"/>
        <w:rPr>
          <w:rFonts w:ascii="David" w:hAnsi="David" w:cs="David"/>
          <w:sz w:val="24"/>
          <w:szCs w:val="24"/>
          <w:rtl/>
        </w:rPr>
      </w:pPr>
    </w:p>
    <w:p w:rsidR="00FA7A9E" w:rsidRDefault="00FA7A9E" w:rsidP="0045371D">
      <w:pPr>
        <w:pStyle w:val="1"/>
        <w:spacing w:line="360" w:lineRule="auto"/>
        <w:ind w:left="283"/>
        <w:jc w:val="both"/>
        <w:rPr>
          <w:rFonts w:ascii="David" w:hAnsi="David" w:cs="David"/>
          <w:sz w:val="24"/>
          <w:szCs w:val="24"/>
          <w:rtl/>
        </w:rPr>
      </w:pPr>
      <w:r w:rsidRPr="002E0BD3">
        <w:rPr>
          <w:rFonts w:ascii="David" w:hAnsi="David" w:cs="David"/>
          <w:sz w:val="24"/>
          <w:szCs w:val="24"/>
          <w:rtl/>
        </w:rPr>
        <w:t xml:space="preserve">יודגש כי במקרה דנן לא נטען שנפל פגם בצוואה שבנדון </w:t>
      </w:r>
      <w:r w:rsidR="0045371D">
        <w:rPr>
          <w:rFonts w:ascii="David" w:hAnsi="David" w:cs="David" w:hint="cs"/>
          <w:sz w:val="24"/>
          <w:szCs w:val="24"/>
          <w:rtl/>
        </w:rPr>
        <w:t xml:space="preserve">מיום 10.05.2012 </w:t>
      </w:r>
      <w:r w:rsidRPr="002E0BD3">
        <w:rPr>
          <w:rFonts w:ascii="David" w:hAnsi="David" w:cs="David"/>
          <w:sz w:val="24"/>
          <w:szCs w:val="24"/>
          <w:rtl/>
        </w:rPr>
        <w:t>ומשכך הנטל לה</w:t>
      </w:r>
      <w:r w:rsidR="0045371D">
        <w:rPr>
          <w:rFonts w:ascii="David" w:hAnsi="David" w:cs="David"/>
          <w:sz w:val="24"/>
          <w:szCs w:val="24"/>
          <w:rtl/>
        </w:rPr>
        <w:t>וכיח את פסלות</w:t>
      </w:r>
      <w:r w:rsidR="0045371D">
        <w:rPr>
          <w:rFonts w:ascii="David" w:hAnsi="David" w:cs="David" w:hint="cs"/>
          <w:sz w:val="24"/>
          <w:szCs w:val="24"/>
          <w:rtl/>
        </w:rPr>
        <w:t xml:space="preserve"> הצוואה האחרונה של המנוחה</w:t>
      </w:r>
      <w:r w:rsidR="0045371D">
        <w:rPr>
          <w:rFonts w:ascii="David" w:hAnsi="David" w:cs="David"/>
          <w:sz w:val="24"/>
          <w:szCs w:val="24"/>
          <w:rtl/>
        </w:rPr>
        <w:t>, מונח לכתפי</w:t>
      </w:r>
      <w:r w:rsidR="0045371D">
        <w:rPr>
          <w:rFonts w:ascii="David" w:hAnsi="David" w:cs="David" w:hint="cs"/>
          <w:sz w:val="24"/>
          <w:szCs w:val="24"/>
          <w:rtl/>
        </w:rPr>
        <w:t>י</w:t>
      </w:r>
      <w:r w:rsidR="0045371D">
        <w:rPr>
          <w:rFonts w:ascii="David" w:hAnsi="David" w:cs="David"/>
          <w:sz w:val="24"/>
          <w:szCs w:val="24"/>
          <w:rtl/>
        </w:rPr>
        <w:t xml:space="preserve"> המתנגד</w:t>
      </w:r>
      <w:r w:rsidR="0045371D">
        <w:rPr>
          <w:rFonts w:ascii="David" w:hAnsi="David" w:cs="David" w:hint="cs"/>
          <w:sz w:val="24"/>
          <w:szCs w:val="24"/>
          <w:rtl/>
        </w:rPr>
        <w:t>ות</w:t>
      </w:r>
      <w:r w:rsidRPr="002E0BD3">
        <w:rPr>
          <w:rFonts w:ascii="David" w:hAnsi="David" w:cs="David"/>
          <w:sz w:val="24"/>
          <w:szCs w:val="24"/>
          <w:rtl/>
        </w:rPr>
        <w:t>.</w:t>
      </w:r>
    </w:p>
    <w:p w:rsidR="00445A70" w:rsidRPr="002E0BD3" w:rsidRDefault="00445A70" w:rsidP="0045371D">
      <w:pPr>
        <w:pStyle w:val="1"/>
        <w:spacing w:line="360" w:lineRule="auto"/>
        <w:ind w:left="283"/>
        <w:jc w:val="both"/>
        <w:rPr>
          <w:rFonts w:ascii="David" w:hAnsi="David" w:cs="David"/>
          <w:sz w:val="24"/>
          <w:szCs w:val="24"/>
          <w:rtl/>
        </w:rPr>
      </w:pPr>
    </w:p>
    <w:p w:rsidR="00FA7A9E" w:rsidRPr="002E0BD3" w:rsidRDefault="00FA7A9E" w:rsidP="00B66890">
      <w:pPr>
        <w:pStyle w:val="ad"/>
        <w:numPr>
          <w:ilvl w:val="0"/>
          <w:numId w:val="3"/>
        </w:numPr>
        <w:spacing w:line="360" w:lineRule="auto"/>
        <w:ind w:left="283" w:hanging="283"/>
        <w:jc w:val="both"/>
        <w:rPr>
          <w:rFonts w:ascii="David" w:hAnsi="David" w:cs="David"/>
          <w:sz w:val="24"/>
          <w:szCs w:val="24"/>
        </w:rPr>
      </w:pPr>
      <w:r w:rsidRPr="002E0BD3">
        <w:rPr>
          <w:rFonts w:ascii="David" w:hAnsi="David" w:cs="David"/>
          <w:sz w:val="24"/>
          <w:szCs w:val="24"/>
          <w:rtl/>
        </w:rPr>
        <w:t xml:space="preserve">סעיף 8א. </w:t>
      </w:r>
      <w:r w:rsidRPr="00445A70">
        <w:rPr>
          <w:rFonts w:ascii="David" w:hAnsi="David" w:cs="David"/>
          <w:sz w:val="24"/>
          <w:szCs w:val="24"/>
          <w:rtl/>
        </w:rPr>
        <w:t>לחוק הירושה, התשכ"ה- 1965</w:t>
      </w:r>
      <w:r w:rsidRPr="002E0BD3">
        <w:rPr>
          <w:rFonts w:ascii="David" w:hAnsi="David" w:cs="David"/>
          <w:sz w:val="24"/>
          <w:szCs w:val="24"/>
          <w:rtl/>
        </w:rPr>
        <w:t xml:space="preserve"> אשר כותרתו "צוואות הדדיות", מורה כדלקמן:</w:t>
      </w:r>
    </w:p>
    <w:p w:rsidR="00FA7A9E" w:rsidRPr="002E0BD3" w:rsidRDefault="00FA7A9E" w:rsidP="00FA7A9E">
      <w:pPr>
        <w:pStyle w:val="ad"/>
        <w:spacing w:line="360" w:lineRule="auto"/>
        <w:ind w:left="567"/>
        <w:jc w:val="both"/>
        <w:rPr>
          <w:rFonts w:ascii="David" w:hAnsi="David" w:cs="David"/>
          <w:sz w:val="24"/>
          <w:szCs w:val="24"/>
        </w:rPr>
      </w:pPr>
    </w:p>
    <w:p w:rsidR="00FA7A9E" w:rsidRPr="003B696A" w:rsidRDefault="00FA7A9E" w:rsidP="00FA7A9E">
      <w:pPr>
        <w:pStyle w:val="ad"/>
        <w:spacing w:line="360" w:lineRule="auto"/>
        <w:ind w:left="1437" w:hanging="870"/>
        <w:jc w:val="both"/>
        <w:rPr>
          <w:rFonts w:ascii="David" w:hAnsi="David" w:cs="David"/>
          <w:b/>
          <w:bCs/>
          <w:sz w:val="24"/>
          <w:szCs w:val="24"/>
          <w:rtl/>
        </w:rPr>
      </w:pPr>
      <w:r w:rsidRPr="002E0BD3">
        <w:rPr>
          <w:rFonts w:ascii="David" w:hAnsi="David" w:cs="David"/>
          <w:b/>
          <w:bCs/>
          <w:sz w:val="24"/>
          <w:szCs w:val="24"/>
          <w:rtl/>
        </w:rPr>
        <w:t>"(א)</w:t>
      </w:r>
      <w:r w:rsidRPr="002E0BD3">
        <w:rPr>
          <w:rFonts w:ascii="David" w:hAnsi="David" w:cs="David"/>
          <w:b/>
          <w:bCs/>
          <w:sz w:val="24"/>
          <w:szCs w:val="24"/>
          <w:rtl/>
        </w:rPr>
        <w:tab/>
        <w:t>בני זוג רשאים לערוך צוואות מתוך הסתמכות של בן הזוג האחד על צוואת בן הזוג האחר; צוואות כאמור יכולות להיעשות בין אם הזוכה על פי כל אחת מהצוואות הוא בן הזוג ובין אם הוא גורם שלישי, בין בשני מסמכים שנערכו באותה עת ובין במסמך אחד (בסעיף</w:t>
      </w:r>
      <w:r w:rsidRPr="003B696A">
        <w:rPr>
          <w:rFonts w:ascii="David" w:hAnsi="David" w:cs="David"/>
          <w:b/>
          <w:bCs/>
          <w:sz w:val="24"/>
          <w:szCs w:val="24"/>
          <w:rtl/>
        </w:rPr>
        <w:t xml:space="preserve"> זה – צוואות הדדיות).</w:t>
      </w:r>
    </w:p>
    <w:p w:rsidR="00FA7A9E" w:rsidRPr="003B696A" w:rsidRDefault="00FA7A9E" w:rsidP="00FA7A9E">
      <w:pPr>
        <w:pStyle w:val="ad"/>
        <w:spacing w:line="360" w:lineRule="auto"/>
        <w:ind w:left="1437" w:hanging="870"/>
        <w:jc w:val="both"/>
        <w:rPr>
          <w:rFonts w:ascii="David" w:hAnsi="David" w:cs="David"/>
          <w:b/>
          <w:bCs/>
          <w:sz w:val="24"/>
          <w:szCs w:val="24"/>
          <w:rtl/>
        </w:rPr>
      </w:pPr>
      <w:r w:rsidRPr="003B696A">
        <w:rPr>
          <w:rFonts w:ascii="David" w:hAnsi="David" w:cs="David"/>
          <w:b/>
          <w:bCs/>
          <w:sz w:val="24"/>
          <w:szCs w:val="24"/>
          <w:rtl/>
        </w:rPr>
        <w:t>(ב)</w:t>
      </w:r>
      <w:r w:rsidRPr="003B696A">
        <w:rPr>
          <w:rFonts w:ascii="David" w:hAnsi="David" w:cs="David"/>
          <w:b/>
          <w:bCs/>
          <w:sz w:val="24"/>
          <w:szCs w:val="24"/>
          <w:rtl/>
        </w:rPr>
        <w:tab/>
        <w:t>לביטול צוואה הדדית לא יהיה תוקף אלא אם כן יתקיים אחד מאלה:</w:t>
      </w:r>
    </w:p>
    <w:p w:rsidR="00FA7A9E" w:rsidRPr="003B696A" w:rsidRDefault="00FA7A9E" w:rsidP="00FA7A9E">
      <w:pPr>
        <w:pStyle w:val="ad"/>
        <w:spacing w:line="360" w:lineRule="auto"/>
        <w:ind w:left="1437"/>
        <w:jc w:val="both"/>
        <w:rPr>
          <w:rFonts w:ascii="David" w:hAnsi="David" w:cs="David"/>
          <w:b/>
          <w:bCs/>
          <w:sz w:val="24"/>
          <w:szCs w:val="24"/>
        </w:rPr>
      </w:pPr>
      <w:r w:rsidRPr="003B696A">
        <w:rPr>
          <w:rFonts w:ascii="David" w:hAnsi="David" w:cs="David"/>
          <w:b/>
          <w:bCs/>
          <w:sz w:val="24"/>
          <w:szCs w:val="24"/>
          <w:rtl/>
        </w:rPr>
        <w:t xml:space="preserve"> (1)בחייהם של שני בני הזוג – המצווה המבקש לבטל את צוואתו ימסור הודעה בכתב על ביטול הצוואה למצווה השני; נמסרה הודעה כאמור, בטלות הצוואות ההדדיות של שני המצווים;" </w:t>
      </w:r>
    </w:p>
    <w:p w:rsidR="00FA7A9E" w:rsidRPr="003B696A" w:rsidRDefault="00FA7A9E" w:rsidP="00FA7A9E">
      <w:pPr>
        <w:pStyle w:val="ad"/>
        <w:spacing w:line="360" w:lineRule="auto"/>
        <w:ind w:left="567"/>
        <w:jc w:val="both"/>
        <w:rPr>
          <w:rFonts w:ascii="David" w:hAnsi="David" w:cs="David"/>
          <w:sz w:val="24"/>
          <w:szCs w:val="24"/>
          <w:rtl/>
        </w:rPr>
      </w:pPr>
    </w:p>
    <w:p w:rsidR="00FA7A9E" w:rsidRDefault="00FA7A9E" w:rsidP="00445A70">
      <w:pPr>
        <w:pStyle w:val="ad"/>
        <w:spacing w:after="0" w:line="360" w:lineRule="auto"/>
        <w:ind w:left="425"/>
        <w:jc w:val="both"/>
        <w:rPr>
          <w:rFonts w:ascii="David" w:hAnsi="David" w:cs="David"/>
          <w:sz w:val="24"/>
          <w:szCs w:val="24"/>
          <w:rtl/>
        </w:rPr>
      </w:pPr>
      <w:r w:rsidRPr="003B696A">
        <w:rPr>
          <w:rFonts w:ascii="David" w:hAnsi="David" w:cs="David"/>
          <w:sz w:val="24"/>
          <w:szCs w:val="24"/>
          <w:rtl/>
        </w:rPr>
        <w:t xml:space="preserve">סעיף 8א. </w:t>
      </w:r>
      <w:r w:rsidRPr="0045371D">
        <w:rPr>
          <w:rFonts w:ascii="David" w:hAnsi="David" w:cs="David"/>
          <w:sz w:val="24"/>
          <w:szCs w:val="24"/>
          <w:rtl/>
        </w:rPr>
        <w:t>לחוק הירושה</w:t>
      </w:r>
      <w:r w:rsidR="0045371D">
        <w:rPr>
          <w:rFonts w:ascii="David" w:hAnsi="David" w:cs="David" w:hint="cs"/>
          <w:sz w:val="24"/>
          <w:szCs w:val="24"/>
          <w:rtl/>
        </w:rPr>
        <w:t xml:space="preserve"> האמור</w:t>
      </w:r>
      <w:r w:rsidR="0045371D">
        <w:rPr>
          <w:rFonts w:ascii="David" w:hAnsi="David" w:cs="David"/>
          <w:sz w:val="24"/>
          <w:szCs w:val="24"/>
          <w:rtl/>
        </w:rPr>
        <w:t xml:space="preserve">, </w:t>
      </w:r>
      <w:r w:rsidRPr="003B696A">
        <w:rPr>
          <w:rFonts w:ascii="David" w:hAnsi="David" w:cs="David"/>
          <w:sz w:val="24"/>
          <w:szCs w:val="24"/>
          <w:rtl/>
        </w:rPr>
        <w:t xml:space="preserve"> הוסף במסגרת תיקון מספר 12 לחוק </w:t>
      </w:r>
      <w:r w:rsidR="00B46C2A">
        <w:rPr>
          <w:rFonts w:ascii="David" w:hAnsi="David" w:cs="David" w:hint="cs"/>
          <w:sz w:val="24"/>
          <w:szCs w:val="24"/>
          <w:rtl/>
        </w:rPr>
        <w:t>(תיקון מיום 01.08.2005)</w:t>
      </w:r>
      <w:r w:rsidR="00B46C2A">
        <w:rPr>
          <w:rFonts w:ascii="David" w:hAnsi="David" w:cs="David"/>
          <w:sz w:val="24"/>
          <w:szCs w:val="24"/>
          <w:rtl/>
        </w:rPr>
        <w:t>,</w:t>
      </w:r>
      <w:r w:rsidR="00445A70">
        <w:rPr>
          <w:rFonts w:ascii="David" w:hAnsi="David" w:cs="David" w:hint="cs"/>
          <w:sz w:val="24"/>
          <w:szCs w:val="24"/>
          <w:rtl/>
        </w:rPr>
        <w:t xml:space="preserve"> </w:t>
      </w:r>
      <w:r w:rsidR="0045371D">
        <w:rPr>
          <w:rFonts w:ascii="David" w:hAnsi="David" w:cs="David" w:hint="cs"/>
          <w:sz w:val="24"/>
          <w:szCs w:val="24"/>
          <w:rtl/>
        </w:rPr>
        <w:t>והוא ה</w:t>
      </w:r>
      <w:r w:rsidRPr="003B696A">
        <w:rPr>
          <w:rFonts w:ascii="David" w:hAnsi="David" w:cs="David"/>
          <w:sz w:val="24"/>
          <w:szCs w:val="24"/>
          <w:rtl/>
        </w:rPr>
        <w:t>מסדיר את נושא עריכת צוואות הדדיות על ידי בני זוג, וביטולן של צוואות אלו.</w:t>
      </w:r>
    </w:p>
    <w:p w:rsidR="00B46C2A" w:rsidRPr="003B696A" w:rsidRDefault="00B46C2A" w:rsidP="00C42032">
      <w:pPr>
        <w:pStyle w:val="ad"/>
        <w:spacing w:after="0" w:line="360" w:lineRule="auto"/>
        <w:ind w:left="425"/>
        <w:jc w:val="both"/>
        <w:rPr>
          <w:rFonts w:ascii="David" w:hAnsi="David" w:cs="David"/>
          <w:sz w:val="24"/>
          <w:szCs w:val="24"/>
          <w:rtl/>
        </w:rPr>
      </w:pPr>
    </w:p>
    <w:p w:rsidR="00FA7A9E" w:rsidRPr="003B696A" w:rsidRDefault="00FA7A9E" w:rsidP="00C42032">
      <w:pPr>
        <w:pStyle w:val="ad"/>
        <w:spacing w:after="0" w:line="360" w:lineRule="auto"/>
        <w:ind w:left="425"/>
        <w:jc w:val="both"/>
        <w:rPr>
          <w:rFonts w:ascii="David" w:hAnsi="David" w:cs="David"/>
          <w:sz w:val="24"/>
          <w:szCs w:val="24"/>
        </w:rPr>
      </w:pPr>
      <w:r w:rsidRPr="003B696A">
        <w:rPr>
          <w:rFonts w:ascii="David" w:hAnsi="David" w:cs="David"/>
          <w:sz w:val="24"/>
          <w:szCs w:val="24"/>
          <w:rtl/>
        </w:rPr>
        <w:t>תיקון</w:t>
      </w:r>
      <w:r w:rsidR="0045371D">
        <w:rPr>
          <w:rFonts w:ascii="David" w:hAnsi="David" w:cs="David" w:hint="cs"/>
          <w:sz w:val="24"/>
          <w:szCs w:val="24"/>
          <w:rtl/>
        </w:rPr>
        <w:t xml:space="preserve"> מספר 12 </w:t>
      </w:r>
      <w:r w:rsidR="00445A70">
        <w:rPr>
          <w:rFonts w:ascii="David" w:hAnsi="David" w:cs="David" w:hint="cs"/>
          <w:sz w:val="24"/>
          <w:szCs w:val="24"/>
          <w:rtl/>
        </w:rPr>
        <w:t xml:space="preserve">לחוק הירושה </w:t>
      </w:r>
      <w:r w:rsidRPr="003B696A">
        <w:rPr>
          <w:rFonts w:ascii="David" w:hAnsi="David" w:cs="David"/>
          <w:sz w:val="24"/>
          <w:szCs w:val="24"/>
          <w:rtl/>
        </w:rPr>
        <w:t xml:space="preserve">בא לערוך איזון בין עיקרון ההסתמכות ההדדית שבין המצווים העומד בבסיס הצוואה ההדדית, שלפיו אין לבטל באופן חד צדדי את הצוואה לבין העיקרון הבסיסי המוגן בחוק הירושה, הוא החופש לצוות, בשלו ניתן, עד רגע המוות, לשנות את הצוואה (ראה דברי ההסבר להצעת </w:t>
      </w:r>
      <w:r w:rsidR="0045371D">
        <w:rPr>
          <w:rFonts w:ascii="David" w:hAnsi="David" w:cs="David" w:hint="cs"/>
          <w:sz w:val="24"/>
          <w:szCs w:val="24"/>
          <w:rtl/>
        </w:rPr>
        <w:t>ה</w:t>
      </w:r>
      <w:r w:rsidR="0045371D">
        <w:rPr>
          <w:rFonts w:ascii="David" w:hAnsi="David" w:cs="David"/>
          <w:sz w:val="24"/>
          <w:szCs w:val="24"/>
          <w:rtl/>
        </w:rPr>
        <w:t>חוק</w:t>
      </w:r>
      <w:r w:rsidR="0045371D">
        <w:rPr>
          <w:rFonts w:ascii="David" w:hAnsi="David" w:cs="David" w:hint="cs"/>
          <w:sz w:val="24"/>
          <w:szCs w:val="24"/>
          <w:rtl/>
        </w:rPr>
        <w:t>)</w:t>
      </w:r>
      <w:r w:rsidRPr="003B696A">
        <w:rPr>
          <w:rFonts w:ascii="David" w:hAnsi="David" w:cs="David"/>
          <w:sz w:val="24"/>
          <w:szCs w:val="24"/>
          <w:rtl/>
        </w:rPr>
        <w:t xml:space="preserve">. </w:t>
      </w:r>
    </w:p>
    <w:p w:rsidR="00FA7A9E" w:rsidRPr="003B696A" w:rsidRDefault="00FA7A9E" w:rsidP="00FA7A9E">
      <w:pPr>
        <w:pStyle w:val="ad"/>
        <w:spacing w:line="360" w:lineRule="auto"/>
        <w:ind w:left="567"/>
        <w:jc w:val="both"/>
        <w:rPr>
          <w:rFonts w:ascii="David" w:hAnsi="David" w:cs="David"/>
          <w:sz w:val="24"/>
          <w:szCs w:val="24"/>
        </w:rPr>
      </w:pPr>
    </w:p>
    <w:p w:rsidR="00FA7A9E" w:rsidRPr="003B696A" w:rsidRDefault="00C42032" w:rsidP="00C42032">
      <w:pPr>
        <w:pStyle w:val="ad"/>
        <w:numPr>
          <w:ilvl w:val="0"/>
          <w:numId w:val="3"/>
        </w:numPr>
        <w:spacing w:after="0" w:line="360" w:lineRule="auto"/>
        <w:ind w:left="283" w:hanging="283"/>
        <w:jc w:val="both"/>
        <w:rPr>
          <w:rFonts w:ascii="David" w:hAnsi="David" w:cs="David"/>
          <w:sz w:val="24"/>
          <w:szCs w:val="24"/>
        </w:rPr>
      </w:pPr>
      <w:r>
        <w:rPr>
          <w:rFonts w:ascii="David" w:hAnsi="David" w:cs="David" w:hint="cs"/>
          <w:sz w:val="24"/>
          <w:szCs w:val="24"/>
          <w:rtl/>
        </w:rPr>
        <w:lastRenderedPageBreak/>
        <w:t xml:space="preserve"> </w:t>
      </w:r>
      <w:r w:rsidR="00FA7A9E" w:rsidRPr="003B696A">
        <w:rPr>
          <w:rFonts w:ascii="David" w:hAnsi="David" w:cs="David"/>
          <w:sz w:val="24"/>
          <w:szCs w:val="24"/>
          <w:rtl/>
        </w:rPr>
        <w:t>צוואה הדדית היא צוואה של שניים , שהיא תוצאה של החלטה משותפת באשר לתוכנה; כאשר תכני ההסדרים שקבע אחד המצווים מבוססים על תכני ההסדרים שקבע המצווה השני, ולא היו נערכים לולא הסדרים אלה  (עקרון ההסתמכות האמור לעיל).</w:t>
      </w:r>
    </w:p>
    <w:p w:rsidR="00FA7A9E" w:rsidRPr="003B696A" w:rsidRDefault="00FA7A9E" w:rsidP="0045371D">
      <w:pPr>
        <w:pStyle w:val="ad"/>
        <w:spacing w:after="0" w:line="360" w:lineRule="auto"/>
        <w:ind w:left="283"/>
        <w:jc w:val="both"/>
        <w:rPr>
          <w:rFonts w:ascii="David" w:hAnsi="David" w:cs="David"/>
          <w:sz w:val="24"/>
          <w:szCs w:val="24"/>
          <w:rtl/>
        </w:rPr>
      </w:pPr>
      <w:r w:rsidRPr="003B696A">
        <w:rPr>
          <w:rFonts w:ascii="David" w:hAnsi="David" w:cs="David"/>
          <w:sz w:val="24"/>
          <w:szCs w:val="24"/>
          <w:rtl/>
        </w:rPr>
        <w:t xml:space="preserve">וראה </w:t>
      </w:r>
      <w:hyperlink r:id="rId12" w:history="1">
        <w:r w:rsidRPr="003B696A">
          <w:rPr>
            <w:rFonts w:ascii="David" w:hAnsi="David" w:cs="David"/>
            <w:sz w:val="24"/>
            <w:szCs w:val="24"/>
            <w:u w:val="single"/>
            <w:rtl/>
          </w:rPr>
          <w:t>ע"א 4402/98</w:t>
        </w:r>
      </w:hyperlink>
      <w:r w:rsidRPr="003B696A">
        <w:rPr>
          <w:rFonts w:ascii="David" w:hAnsi="David" w:cs="David"/>
          <w:sz w:val="24"/>
          <w:szCs w:val="24"/>
          <w:rtl/>
        </w:rPr>
        <w:t xml:space="preserve"> </w:t>
      </w:r>
      <w:r w:rsidRPr="003B696A">
        <w:rPr>
          <w:rFonts w:ascii="David" w:hAnsi="David" w:cs="David"/>
          <w:b/>
          <w:bCs/>
          <w:sz w:val="24"/>
          <w:szCs w:val="24"/>
          <w:rtl/>
        </w:rPr>
        <w:t xml:space="preserve">יצחק מלמד נ' סלומון אשכנזי </w:t>
      </w:r>
      <w:r w:rsidRPr="003B696A">
        <w:rPr>
          <w:rFonts w:ascii="David" w:hAnsi="David" w:cs="David"/>
          <w:sz w:val="24"/>
          <w:szCs w:val="24"/>
          <w:rtl/>
        </w:rPr>
        <w:t xml:space="preserve">[פורסם בנבו] (17.11.99) ; </w:t>
      </w:r>
      <w:r w:rsidRPr="003B696A">
        <w:rPr>
          <w:rFonts w:ascii="David" w:hAnsi="David" w:cs="David"/>
          <w:b/>
          <w:bCs/>
          <w:sz w:val="24"/>
          <w:szCs w:val="24"/>
          <w:rtl/>
        </w:rPr>
        <w:t>שאול שוחט</w:t>
      </w:r>
      <w:r w:rsidRPr="003B696A">
        <w:rPr>
          <w:rFonts w:ascii="David" w:hAnsi="David" w:cs="David"/>
          <w:sz w:val="24"/>
          <w:szCs w:val="24"/>
          <w:rtl/>
        </w:rPr>
        <w:t xml:space="preserve">, </w:t>
      </w:r>
      <w:hyperlink r:id="rId13" w:history="1">
        <w:r w:rsidRPr="003B696A">
          <w:rPr>
            <w:rFonts w:ascii="David" w:hAnsi="David" w:cs="David"/>
            <w:sz w:val="24"/>
            <w:szCs w:val="24"/>
            <w:u w:val="single"/>
            <w:rtl/>
          </w:rPr>
          <w:t>פגמים בצוואות</w:t>
        </w:r>
      </w:hyperlink>
      <w:r w:rsidRPr="003B696A">
        <w:rPr>
          <w:rFonts w:ascii="David" w:hAnsi="David" w:cs="David"/>
          <w:sz w:val="24"/>
          <w:szCs w:val="24"/>
          <w:rtl/>
        </w:rPr>
        <w:t xml:space="preserve">, מהדורה שלישית התשע"ו-2016, בעמ' 18; </w:t>
      </w:r>
      <w:r w:rsidRPr="003B696A">
        <w:rPr>
          <w:rFonts w:ascii="David" w:hAnsi="David" w:cs="David"/>
          <w:b/>
          <w:bCs/>
          <w:sz w:val="24"/>
          <w:szCs w:val="24"/>
          <w:rtl/>
        </w:rPr>
        <w:t>א</w:t>
      </w:r>
      <w:r w:rsidR="0045371D">
        <w:rPr>
          <w:rFonts w:ascii="David" w:hAnsi="David" w:cs="David" w:hint="cs"/>
          <w:b/>
          <w:bCs/>
          <w:sz w:val="24"/>
          <w:szCs w:val="24"/>
          <w:rtl/>
        </w:rPr>
        <w:t>.</w:t>
      </w:r>
      <w:r w:rsidRPr="003B696A">
        <w:rPr>
          <w:rFonts w:ascii="David" w:hAnsi="David" w:cs="David"/>
          <w:b/>
          <w:bCs/>
          <w:sz w:val="24"/>
          <w:szCs w:val="24"/>
          <w:rtl/>
        </w:rPr>
        <w:t xml:space="preserve">  ברק</w:t>
      </w:r>
      <w:r w:rsidRPr="003B696A">
        <w:rPr>
          <w:rFonts w:ascii="David" w:hAnsi="David" w:cs="David"/>
          <w:sz w:val="24"/>
          <w:szCs w:val="24"/>
          <w:rtl/>
        </w:rPr>
        <w:t xml:space="preserve">, </w:t>
      </w:r>
      <w:hyperlink r:id="rId14" w:history="1">
        <w:r w:rsidRPr="003B696A">
          <w:rPr>
            <w:rFonts w:ascii="David" w:hAnsi="David" w:cs="David"/>
            <w:sz w:val="24"/>
            <w:szCs w:val="24"/>
            <w:u w:val="single"/>
            <w:rtl/>
          </w:rPr>
          <w:t>פרשנות במשפט</w:t>
        </w:r>
      </w:hyperlink>
      <w:r w:rsidRPr="003B696A">
        <w:rPr>
          <w:rFonts w:ascii="David" w:hAnsi="David" w:cs="David"/>
          <w:sz w:val="24"/>
          <w:szCs w:val="24"/>
          <w:rtl/>
        </w:rPr>
        <w:t>, בעמ' 69.</w:t>
      </w:r>
    </w:p>
    <w:p w:rsidR="00FA7A9E" w:rsidRPr="003B696A" w:rsidRDefault="00FA7A9E" w:rsidP="005A46CF">
      <w:pPr>
        <w:pStyle w:val="ad"/>
        <w:spacing w:after="0" w:line="360" w:lineRule="auto"/>
        <w:ind w:left="283"/>
        <w:jc w:val="both"/>
        <w:rPr>
          <w:rFonts w:ascii="David" w:hAnsi="David" w:cs="David"/>
          <w:sz w:val="24"/>
          <w:szCs w:val="24"/>
          <w:rtl/>
        </w:rPr>
      </w:pPr>
    </w:p>
    <w:p w:rsidR="00FA7A9E" w:rsidRPr="003B696A" w:rsidRDefault="00D01CFA" w:rsidP="00B46C2A">
      <w:pPr>
        <w:spacing w:line="360" w:lineRule="auto"/>
        <w:ind w:left="283"/>
        <w:jc w:val="both"/>
        <w:rPr>
          <w:rFonts w:ascii="David" w:hAnsi="David"/>
          <w:noProof w:val="0"/>
          <w:rtl/>
        </w:rPr>
      </w:pPr>
      <w:r>
        <w:rPr>
          <w:rFonts w:ascii="David" w:hAnsi="David" w:hint="cs"/>
          <w:noProof w:val="0"/>
          <w:rtl/>
        </w:rPr>
        <w:t xml:space="preserve">כאמור, </w:t>
      </w:r>
      <w:r w:rsidR="00FA7A9E" w:rsidRPr="003B696A">
        <w:rPr>
          <w:rFonts w:ascii="David" w:hAnsi="David"/>
          <w:noProof w:val="0"/>
          <w:rtl/>
        </w:rPr>
        <w:t xml:space="preserve"> 'צוואה משותפת' היא 'הדדית' כאשר ההסדרים שקבע אחד מהמצווים מבוססים על ההסדרים שקבע המצווה השני ולא היו נערכים ללא הסדרים אלה</w:t>
      </w:r>
      <w:r w:rsidR="00B46C2A">
        <w:rPr>
          <w:rFonts w:ascii="David" w:hAnsi="David" w:hint="cs"/>
          <w:noProof w:val="0"/>
          <w:rtl/>
        </w:rPr>
        <w:t xml:space="preserve"> ואלו דברי כב' השופט צבי ויצמן </w:t>
      </w:r>
      <w:r w:rsidR="00B46C2A" w:rsidRPr="006A0E2C">
        <w:rPr>
          <w:rFonts w:ascii="David" w:hAnsi="David" w:hint="cs"/>
          <w:noProof w:val="0"/>
          <w:u w:val="single"/>
          <w:rtl/>
        </w:rPr>
        <w:t>בת"ע 2990/07:</w:t>
      </w:r>
      <w:r w:rsidR="00FA7A9E" w:rsidRPr="003B696A">
        <w:rPr>
          <w:rFonts w:ascii="David" w:hAnsi="David"/>
          <w:noProof w:val="0"/>
          <w:rtl/>
        </w:rPr>
        <w:t xml:space="preserve">  </w:t>
      </w:r>
    </w:p>
    <w:p w:rsidR="00FA7A9E" w:rsidRPr="006A0E2C" w:rsidRDefault="00FA7A9E" w:rsidP="006A0E2C">
      <w:pPr>
        <w:shd w:val="clear" w:color="auto" w:fill="FFFFFF"/>
        <w:spacing w:line="360" w:lineRule="auto"/>
        <w:ind w:left="283"/>
        <w:jc w:val="both"/>
        <w:rPr>
          <w:rFonts w:ascii="David" w:eastAsia="Calibri" w:hAnsi="David"/>
          <w:noProof w:val="0"/>
          <w:rtl/>
        </w:rPr>
      </w:pPr>
      <w:r w:rsidRPr="003B696A">
        <w:rPr>
          <w:rFonts w:ascii="David" w:hAnsi="David"/>
          <w:b/>
          <w:bCs/>
          <w:noProof w:val="0"/>
          <w:rtl/>
        </w:rPr>
        <w:t>"בצוואה הדדית נקשר כל אחד מהמצווים במערכת של התחייבויות המבוססת על ההסדרים שנקבעו בצוואתו ההדדית של המצווה השני, וכדברי כב' הש' ברק בספרו על הפרשנות במשפט – "צוואה הנה משותפת כאשר היא תוצאה של החלטה משותפת בדבר תוכנה. צוואה משותפת היא הדדית כאשר ההסדרים שקבע אחד המצווים מבוססים על ההסדרים שקבע המצווה השני ולא היו נערכים לולא הסדרים אלה</w:t>
      </w:r>
      <w:r w:rsidR="0027686F">
        <w:rPr>
          <w:rFonts w:ascii="David" w:hAnsi="David" w:hint="cs"/>
          <w:b/>
          <w:bCs/>
          <w:noProof w:val="0"/>
          <w:rtl/>
        </w:rPr>
        <w:t xml:space="preserve">.. </w:t>
      </w:r>
      <w:r w:rsidRPr="003B696A">
        <w:rPr>
          <w:rFonts w:ascii="David" w:hAnsi="David"/>
          <w:b/>
          <w:bCs/>
          <w:noProof w:val="0"/>
          <w:rtl/>
        </w:rPr>
        <w:t>לנוכח מערכת התחייבויות זו ניתן לומר כי צוואות הדדיות הינן מסמך הקרוב במאפייניו לחוזה, ואם כן אפשר שראוי להחיל על מערכת חוזית זו את עקרונות תום הלב שהינן עקרונות יסוד בהתקשרות חוזי</w:t>
      </w:r>
      <w:r w:rsidRPr="006A0E2C">
        <w:rPr>
          <w:rFonts w:ascii="David" w:hAnsi="David"/>
          <w:b/>
          <w:bCs/>
          <w:noProof w:val="0"/>
          <w:rtl/>
        </w:rPr>
        <w:t>ת".</w:t>
      </w:r>
      <w:r w:rsidR="006A0E2C" w:rsidRPr="006A0E2C">
        <w:rPr>
          <w:rFonts w:ascii="David" w:hAnsi="David" w:hint="cs"/>
          <w:noProof w:val="0"/>
          <w:rtl/>
        </w:rPr>
        <w:t xml:space="preserve"> </w:t>
      </w:r>
      <w:r w:rsidR="006A0E2C" w:rsidRPr="006A0E2C">
        <w:rPr>
          <w:rFonts w:ascii="David" w:hAnsi="David"/>
          <w:noProof w:val="0"/>
          <w:rtl/>
        </w:rPr>
        <w:t>[</w:t>
      </w:r>
      <w:hyperlink r:id="rId15" w:tgtFrame="blank" w:history="1">
        <w:r w:rsidRPr="006A0E2C">
          <w:rPr>
            <w:rStyle w:val="Hyperlink"/>
            <w:rFonts w:ascii="David" w:hAnsi="David"/>
            <w:noProof w:val="0"/>
            <w:color w:val="auto"/>
            <w:rtl/>
          </w:rPr>
          <w:t>ת"ע 2990/07</w:t>
        </w:r>
      </w:hyperlink>
      <w:r w:rsidRPr="006A0E2C">
        <w:rPr>
          <w:rFonts w:ascii="David" w:hAnsi="David"/>
          <w:noProof w:val="0"/>
          <w:rtl/>
        </w:rPr>
        <w:t xml:space="preserve"> </w:t>
      </w:r>
      <w:r w:rsidRPr="006A0E2C">
        <w:rPr>
          <w:rFonts w:ascii="David" w:hAnsi="David"/>
          <w:b/>
          <w:bCs/>
          <w:noProof w:val="0"/>
          <w:rtl/>
        </w:rPr>
        <w:t xml:space="preserve"> ד.ש. נ' א.ג</w:t>
      </w:r>
      <w:r w:rsidRPr="006A0E2C">
        <w:rPr>
          <w:rFonts w:ascii="David" w:hAnsi="David"/>
          <w:noProof w:val="0"/>
          <w:rtl/>
        </w:rPr>
        <w:t>.[פורסם בנבו](</w:t>
      </w:r>
      <w:r w:rsidR="00B46C2A" w:rsidRPr="006A0E2C">
        <w:rPr>
          <w:rFonts w:ascii="David" w:eastAsia="Calibri" w:hAnsi="David"/>
          <w:noProof w:val="0"/>
          <w:rtl/>
        </w:rPr>
        <w:t>21.4.10)</w:t>
      </w:r>
      <w:r w:rsidR="006A0E2C" w:rsidRPr="006A0E2C">
        <w:rPr>
          <w:rFonts w:ascii="David" w:eastAsia="Calibri" w:hAnsi="David"/>
          <w:noProof w:val="0"/>
          <w:rtl/>
        </w:rPr>
        <w:t>]</w:t>
      </w:r>
      <w:r w:rsidR="00B46C2A" w:rsidRPr="006A0E2C">
        <w:rPr>
          <w:rFonts w:ascii="David" w:eastAsia="Calibri" w:hAnsi="David"/>
          <w:noProof w:val="0"/>
          <w:rtl/>
        </w:rPr>
        <w:t xml:space="preserve">. </w:t>
      </w:r>
    </w:p>
    <w:p w:rsidR="00FA7A9E" w:rsidRDefault="00FA7A9E" w:rsidP="0027686F">
      <w:pPr>
        <w:spacing w:line="360" w:lineRule="auto"/>
        <w:ind w:left="720" w:hanging="437"/>
        <w:jc w:val="both"/>
        <w:rPr>
          <w:rFonts w:ascii="David" w:eastAsia="Calibri" w:hAnsi="David"/>
          <w:b/>
          <w:bCs/>
          <w:noProof w:val="0"/>
          <w:rtl/>
        </w:rPr>
      </w:pPr>
      <w:r w:rsidRPr="003B696A">
        <w:rPr>
          <w:rFonts w:ascii="David" w:eastAsia="Calibri" w:hAnsi="David"/>
          <w:noProof w:val="0"/>
          <w:rtl/>
        </w:rPr>
        <w:t>רא</w:t>
      </w:r>
      <w:r w:rsidR="0027686F">
        <w:rPr>
          <w:rFonts w:ascii="David" w:eastAsia="Calibri" w:hAnsi="David" w:hint="cs"/>
          <w:noProof w:val="0"/>
          <w:rtl/>
        </w:rPr>
        <w:t>ה</w:t>
      </w:r>
      <w:r w:rsidRPr="003B696A">
        <w:rPr>
          <w:rFonts w:ascii="David" w:eastAsia="Calibri" w:hAnsi="David"/>
          <w:noProof w:val="0"/>
          <w:rtl/>
        </w:rPr>
        <w:t xml:space="preserve"> גם: </w:t>
      </w:r>
      <w:r w:rsidRPr="0027686F">
        <w:rPr>
          <w:rFonts w:ascii="David" w:eastAsia="Calibri" w:hAnsi="David"/>
          <w:noProof w:val="0"/>
          <w:u w:val="single"/>
          <w:rtl/>
        </w:rPr>
        <w:t>בע"מ 4282/03</w:t>
      </w:r>
      <w:r w:rsidRPr="003B696A">
        <w:rPr>
          <w:rFonts w:ascii="David" w:eastAsia="Calibri" w:hAnsi="David"/>
          <w:b/>
          <w:bCs/>
          <w:noProof w:val="0"/>
          <w:rtl/>
        </w:rPr>
        <w:t xml:space="preserve"> לרנר נ' פייר </w:t>
      </w:r>
      <w:r w:rsidRPr="003B696A">
        <w:rPr>
          <w:rFonts w:ascii="David" w:eastAsia="Calibri" w:hAnsi="David"/>
          <w:noProof w:val="0"/>
          <w:rtl/>
        </w:rPr>
        <w:t>[פורסם בנבו] (21.6.2005)</w:t>
      </w:r>
      <w:r w:rsidRPr="003B696A">
        <w:rPr>
          <w:rFonts w:ascii="David" w:eastAsia="Calibri" w:hAnsi="David"/>
          <w:b/>
          <w:bCs/>
          <w:noProof w:val="0"/>
          <w:rtl/>
        </w:rPr>
        <w:t xml:space="preserve">; </w:t>
      </w:r>
    </w:p>
    <w:p w:rsidR="00010834" w:rsidRPr="003B696A" w:rsidRDefault="00010834" w:rsidP="0027686F">
      <w:pPr>
        <w:spacing w:line="360" w:lineRule="auto"/>
        <w:ind w:left="720" w:hanging="437"/>
        <w:jc w:val="both"/>
        <w:rPr>
          <w:rFonts w:ascii="David" w:eastAsia="Calibri" w:hAnsi="David"/>
          <w:b/>
          <w:bCs/>
          <w:noProof w:val="0"/>
          <w:rtl/>
        </w:rPr>
      </w:pPr>
    </w:p>
    <w:p w:rsidR="00FA7A9E" w:rsidRPr="003B696A" w:rsidRDefault="00FA7A9E" w:rsidP="004C7841">
      <w:pPr>
        <w:pStyle w:val="ad"/>
        <w:numPr>
          <w:ilvl w:val="0"/>
          <w:numId w:val="3"/>
        </w:numPr>
        <w:spacing w:after="0" w:line="360" w:lineRule="auto"/>
        <w:ind w:left="283" w:right="142" w:hanging="283"/>
        <w:jc w:val="both"/>
        <w:rPr>
          <w:rFonts w:ascii="David" w:hAnsi="David" w:cs="David"/>
          <w:sz w:val="24"/>
          <w:szCs w:val="24"/>
        </w:rPr>
      </w:pPr>
      <w:r w:rsidRPr="003B696A">
        <w:rPr>
          <w:rFonts w:ascii="David" w:hAnsi="David" w:cs="David"/>
          <w:sz w:val="24"/>
          <w:szCs w:val="24"/>
          <w:rtl/>
        </w:rPr>
        <w:t xml:space="preserve">במקרה דנן- טענו המתנגדות כי צוואת המנוחה מיום 21.09.2009, היא צוואה </w:t>
      </w:r>
      <w:r w:rsidRPr="003B696A">
        <w:rPr>
          <w:rFonts w:ascii="David" w:hAnsi="David" w:cs="David"/>
          <w:b/>
          <w:bCs/>
          <w:sz w:val="24"/>
          <w:szCs w:val="24"/>
          <w:rtl/>
        </w:rPr>
        <w:t>הדדית</w:t>
      </w:r>
      <w:r w:rsidRPr="003B696A">
        <w:rPr>
          <w:rFonts w:ascii="David" w:hAnsi="David" w:cs="David"/>
          <w:sz w:val="24"/>
          <w:szCs w:val="24"/>
          <w:rtl/>
        </w:rPr>
        <w:t xml:space="preserve"> ותואמת את צוואת המנוח מאותו </w:t>
      </w:r>
      <w:r w:rsidR="00B76D06">
        <w:rPr>
          <w:rFonts w:ascii="David" w:hAnsi="David" w:cs="David"/>
          <w:sz w:val="24"/>
          <w:szCs w:val="24"/>
          <w:rtl/>
        </w:rPr>
        <w:t>היום, אשר קוימה ביום 27.10.2013</w:t>
      </w:r>
      <w:r w:rsidR="00B76D06">
        <w:rPr>
          <w:rFonts w:ascii="David" w:hAnsi="David" w:cs="David" w:hint="cs"/>
          <w:sz w:val="24"/>
          <w:szCs w:val="24"/>
          <w:rtl/>
        </w:rPr>
        <w:t>; אשר על כן טענו המתנגדות כי עריכת הצוואה המאוחרת משנת 2012 צריכה לעמוד בתנאים ובהוראות הדין לעניין צוואה הדדית.</w:t>
      </w:r>
    </w:p>
    <w:p w:rsidR="00FA7A9E" w:rsidRPr="003B696A" w:rsidRDefault="00FA7A9E" w:rsidP="00FA7A9E">
      <w:pPr>
        <w:pStyle w:val="ad"/>
        <w:spacing w:after="0" w:line="360" w:lineRule="auto"/>
        <w:ind w:left="567" w:right="142"/>
        <w:jc w:val="both"/>
        <w:rPr>
          <w:rFonts w:ascii="David" w:hAnsi="David" w:cs="David"/>
          <w:sz w:val="24"/>
          <w:szCs w:val="24"/>
        </w:rPr>
      </w:pPr>
    </w:p>
    <w:p w:rsidR="00B76D06" w:rsidRDefault="00FA7A9E" w:rsidP="004C7841">
      <w:pPr>
        <w:pStyle w:val="ad"/>
        <w:numPr>
          <w:ilvl w:val="0"/>
          <w:numId w:val="3"/>
        </w:numPr>
        <w:spacing w:after="0" w:line="360" w:lineRule="auto"/>
        <w:ind w:left="283" w:right="142" w:hanging="283"/>
        <w:jc w:val="both"/>
        <w:rPr>
          <w:rFonts w:ascii="David" w:hAnsi="David" w:cs="David"/>
          <w:sz w:val="24"/>
          <w:szCs w:val="24"/>
        </w:rPr>
      </w:pPr>
      <w:r w:rsidRPr="003B696A">
        <w:rPr>
          <w:rFonts w:ascii="David" w:hAnsi="David" w:cs="David"/>
          <w:sz w:val="24"/>
          <w:szCs w:val="24"/>
          <w:rtl/>
        </w:rPr>
        <w:t xml:space="preserve">מבחינה פורמלית, אין חולק כי הן צוואת </w:t>
      </w:r>
      <w:r w:rsidR="00B76D06">
        <w:rPr>
          <w:rFonts w:ascii="David" w:hAnsi="David" w:cs="David"/>
          <w:sz w:val="24"/>
          <w:szCs w:val="24"/>
          <w:rtl/>
        </w:rPr>
        <w:t>המנוחה והן צוואת המנוח, נערכו ב</w:t>
      </w:r>
      <w:r w:rsidR="00B76D06">
        <w:rPr>
          <w:rFonts w:ascii="David" w:hAnsi="David" w:cs="David" w:hint="cs"/>
          <w:sz w:val="24"/>
          <w:szCs w:val="24"/>
          <w:rtl/>
        </w:rPr>
        <w:t>'</w:t>
      </w:r>
      <w:r w:rsidRPr="00B76D06">
        <w:rPr>
          <w:rFonts w:ascii="David" w:hAnsi="David" w:cs="David"/>
          <w:sz w:val="24"/>
          <w:szCs w:val="24"/>
          <w:u w:val="single"/>
          <w:rtl/>
        </w:rPr>
        <w:t>אותה עת</w:t>
      </w:r>
      <w:r w:rsidR="00B76D06">
        <w:rPr>
          <w:rFonts w:ascii="David" w:hAnsi="David" w:cs="David" w:hint="cs"/>
          <w:sz w:val="24"/>
          <w:szCs w:val="24"/>
          <w:rtl/>
        </w:rPr>
        <w:t>'</w:t>
      </w:r>
      <w:r w:rsidRPr="003B696A">
        <w:rPr>
          <w:rFonts w:ascii="David" w:hAnsi="David" w:cs="David"/>
          <w:sz w:val="24"/>
          <w:szCs w:val="24"/>
          <w:rtl/>
        </w:rPr>
        <w:t xml:space="preserve"> ביום 21.09.2009 בשני מסמכים נפרדים;</w:t>
      </w:r>
    </w:p>
    <w:p w:rsidR="00FA7A9E" w:rsidRPr="003B696A" w:rsidRDefault="00FA7A9E" w:rsidP="004C7841">
      <w:pPr>
        <w:pStyle w:val="ad"/>
        <w:spacing w:after="0" w:line="360" w:lineRule="auto"/>
        <w:ind w:left="283" w:right="142"/>
        <w:jc w:val="both"/>
        <w:rPr>
          <w:rFonts w:ascii="David" w:hAnsi="David" w:cs="David"/>
          <w:sz w:val="24"/>
          <w:szCs w:val="24"/>
        </w:rPr>
      </w:pPr>
      <w:r w:rsidRPr="003B696A">
        <w:rPr>
          <w:rFonts w:ascii="David" w:hAnsi="David" w:cs="David"/>
          <w:sz w:val="24"/>
          <w:szCs w:val="24"/>
          <w:rtl/>
        </w:rPr>
        <w:t xml:space="preserve">עוד אין חולק כי </w:t>
      </w:r>
      <w:r w:rsidRPr="00B76D06">
        <w:rPr>
          <w:rFonts w:ascii="David" w:hAnsi="David" w:cs="David"/>
          <w:sz w:val="24"/>
          <w:szCs w:val="24"/>
          <w:u w:val="single"/>
          <w:rtl/>
        </w:rPr>
        <w:t>נוסח</w:t>
      </w:r>
      <w:r w:rsidRPr="003B696A">
        <w:rPr>
          <w:rFonts w:ascii="David" w:hAnsi="David" w:cs="David"/>
          <w:sz w:val="24"/>
          <w:szCs w:val="24"/>
          <w:rtl/>
        </w:rPr>
        <w:t xml:space="preserve"> הצוואות של המנוחים זהה- כ"א מהמנוחים קבע כי כל רכושו יועבר לבן זוגו  (המנוח למנוחה וההיפך) ו</w:t>
      </w:r>
      <w:r w:rsidR="00B76D06">
        <w:rPr>
          <w:rFonts w:ascii="David" w:hAnsi="David" w:cs="David" w:hint="cs"/>
          <w:sz w:val="24"/>
          <w:szCs w:val="24"/>
          <w:rtl/>
        </w:rPr>
        <w:t xml:space="preserve">שניהם קבעו בצוואתם כי </w:t>
      </w:r>
      <w:r w:rsidRPr="003B696A">
        <w:rPr>
          <w:rFonts w:ascii="David" w:hAnsi="David" w:cs="David"/>
          <w:sz w:val="24"/>
          <w:szCs w:val="24"/>
          <w:rtl/>
        </w:rPr>
        <w:t>אם במועד פטירתו לא יהא בן הזוג בחיים, אזי יעבור כל הרכוש לארבעת הנכדים, בחלקים שווים.</w:t>
      </w:r>
    </w:p>
    <w:p w:rsidR="00FA7A9E" w:rsidRPr="003B696A" w:rsidRDefault="00FA7A9E" w:rsidP="00FA7A9E">
      <w:pPr>
        <w:pStyle w:val="ad"/>
        <w:rPr>
          <w:rFonts w:ascii="David" w:hAnsi="David" w:cs="David"/>
          <w:sz w:val="24"/>
          <w:szCs w:val="24"/>
          <w:rtl/>
        </w:rPr>
      </w:pPr>
    </w:p>
    <w:p w:rsidR="00FA7A9E" w:rsidRPr="003B696A" w:rsidRDefault="00B76D06" w:rsidP="004C7841">
      <w:pPr>
        <w:pStyle w:val="ad"/>
        <w:numPr>
          <w:ilvl w:val="0"/>
          <w:numId w:val="3"/>
        </w:numPr>
        <w:spacing w:after="0" w:line="360" w:lineRule="auto"/>
        <w:ind w:left="283" w:right="142" w:hanging="283"/>
        <w:jc w:val="both"/>
        <w:rPr>
          <w:rFonts w:ascii="David" w:hAnsi="David" w:cs="David"/>
          <w:sz w:val="24"/>
          <w:szCs w:val="24"/>
        </w:rPr>
      </w:pPr>
      <w:r>
        <w:rPr>
          <w:rFonts w:ascii="David" w:hAnsi="David" w:cs="David" w:hint="cs"/>
          <w:sz w:val="24"/>
          <w:szCs w:val="24"/>
          <w:rtl/>
        </w:rPr>
        <w:t>בהמשך ל</w:t>
      </w:r>
      <w:r w:rsidR="00FA7A9E" w:rsidRPr="003B696A">
        <w:rPr>
          <w:rFonts w:ascii="David" w:hAnsi="David" w:cs="David"/>
          <w:sz w:val="24"/>
          <w:szCs w:val="24"/>
          <w:rtl/>
        </w:rPr>
        <w:t>מבחן הפורמלי, יש לבחון את צוואת המנוח</w:t>
      </w:r>
      <w:r>
        <w:rPr>
          <w:rFonts w:ascii="David" w:hAnsi="David" w:cs="David" w:hint="cs"/>
          <w:sz w:val="24"/>
          <w:szCs w:val="24"/>
          <w:rtl/>
        </w:rPr>
        <w:t xml:space="preserve">ה משנת 2009 </w:t>
      </w:r>
      <w:r w:rsidR="00FA7A9E" w:rsidRPr="003B696A">
        <w:rPr>
          <w:rFonts w:ascii="David" w:hAnsi="David" w:cs="David"/>
          <w:sz w:val="24"/>
          <w:szCs w:val="24"/>
          <w:rtl/>
        </w:rPr>
        <w:t>מבחינה מהותית, ולבדוק האם בבסיסה הסתמכות של בן הזוג האחד על צוואת בן הזוג האחר שכן כאמור אינטרס ההסתמכות בין הצוואה האחת לצוואה האחרת - היא העיקר:</w:t>
      </w:r>
    </w:p>
    <w:p w:rsidR="00FA7A9E" w:rsidRPr="003B696A" w:rsidRDefault="00FA7A9E" w:rsidP="004C7841">
      <w:pPr>
        <w:pStyle w:val="ad"/>
        <w:spacing w:after="0" w:line="360" w:lineRule="auto"/>
        <w:ind w:left="283" w:right="426"/>
        <w:jc w:val="both"/>
        <w:rPr>
          <w:rFonts w:ascii="David" w:hAnsi="David" w:cs="David"/>
          <w:sz w:val="24"/>
          <w:szCs w:val="24"/>
        </w:rPr>
      </w:pPr>
    </w:p>
    <w:p w:rsidR="00010834" w:rsidRDefault="00FA7A9E" w:rsidP="00010834">
      <w:pPr>
        <w:spacing w:line="360" w:lineRule="auto"/>
        <w:ind w:left="283" w:right="142"/>
        <w:jc w:val="both"/>
        <w:rPr>
          <w:rFonts w:ascii="David" w:hAnsi="David"/>
          <w:rtl/>
        </w:rPr>
      </w:pPr>
      <w:r w:rsidRPr="003B696A">
        <w:rPr>
          <w:rFonts w:ascii="David" w:hAnsi="David"/>
          <w:b/>
          <w:bCs/>
          <w:rtl/>
        </w:rPr>
        <w:t xml:space="preserve">"קיים בצוואה המשותפת וההדדית </w:t>
      </w:r>
      <w:r w:rsidRPr="003B696A">
        <w:rPr>
          <w:rFonts w:ascii="David" w:hAnsi="David"/>
          <w:b/>
          <w:bCs/>
          <w:u w:val="single"/>
          <w:rtl/>
        </w:rPr>
        <w:t xml:space="preserve">אינטרס הסתמכות ברור. על פי עצם ההגדרה של ההדדיות, ההוראות של המצווה האחד נקבעות על יסוד הוראותיו של המצווה האחר. הוראותיו של האחד </w:t>
      </w:r>
      <w:r w:rsidRPr="003B696A">
        <w:rPr>
          <w:rFonts w:ascii="David" w:hAnsi="David"/>
          <w:b/>
          <w:bCs/>
          <w:u w:val="single"/>
          <w:rtl/>
        </w:rPr>
        <w:lastRenderedPageBreak/>
        <w:t>הן התמורה להוראותיו של האחר</w:t>
      </w:r>
      <w:r w:rsidRPr="003B696A">
        <w:rPr>
          <w:rFonts w:ascii="David" w:hAnsi="David"/>
          <w:b/>
          <w:bCs/>
          <w:rtl/>
        </w:rPr>
        <w:t xml:space="preserve">. על כן בצוואה משותפת והדדית יש להתחשב - שעה שמפרשים את הוראות הצוואה - באומד הדעת המשותף של המצווים כולם. </w:t>
      </w:r>
      <w:r w:rsidRPr="003B696A">
        <w:rPr>
          <w:rFonts w:ascii="David" w:hAnsi="David"/>
          <w:b/>
          <w:bCs/>
          <w:u w:val="single"/>
          <w:rtl/>
        </w:rPr>
        <w:t>מבחינה זו דומה צוואה משותפת והדדית לחוזה יותר משהיא דומה לצוואה</w:t>
      </w:r>
      <w:r w:rsidRPr="003B696A">
        <w:rPr>
          <w:rFonts w:ascii="David" w:hAnsi="David"/>
          <w:b/>
          <w:bCs/>
          <w:rtl/>
        </w:rPr>
        <w:t xml:space="preserve">" </w:t>
      </w:r>
    </w:p>
    <w:p w:rsidR="00FA7A9E" w:rsidRPr="003B696A" w:rsidRDefault="00FA7A9E" w:rsidP="00010834">
      <w:pPr>
        <w:spacing w:line="360" w:lineRule="auto"/>
        <w:ind w:left="283" w:right="142"/>
        <w:jc w:val="both"/>
        <w:rPr>
          <w:rFonts w:ascii="David" w:hAnsi="David"/>
        </w:rPr>
      </w:pPr>
      <w:r w:rsidRPr="003B696A">
        <w:rPr>
          <w:rFonts w:ascii="David" w:hAnsi="David"/>
          <w:rtl/>
        </w:rPr>
        <w:t xml:space="preserve"> </w:t>
      </w:r>
      <w:hyperlink r:id="rId16" w:history="1">
        <w:r w:rsidRPr="003B696A">
          <w:rPr>
            <w:rFonts w:ascii="David" w:hAnsi="David"/>
            <w:u w:val="single"/>
            <w:rtl/>
          </w:rPr>
          <w:t>בע"מ 10807/03</w:t>
        </w:r>
      </w:hyperlink>
      <w:r w:rsidRPr="003B696A">
        <w:rPr>
          <w:rFonts w:ascii="David" w:hAnsi="David"/>
          <w:rtl/>
        </w:rPr>
        <w:t xml:space="preserve"> </w:t>
      </w:r>
      <w:r w:rsidRPr="003B696A">
        <w:rPr>
          <w:rFonts w:ascii="David" w:hAnsi="David"/>
          <w:b/>
          <w:bCs/>
          <w:rtl/>
        </w:rPr>
        <w:t xml:space="preserve">אליקום זמיר נ' רות גמליאל </w:t>
      </w:r>
      <w:r w:rsidRPr="003B696A">
        <w:rPr>
          <w:rFonts w:ascii="David" w:hAnsi="David"/>
          <w:rtl/>
        </w:rPr>
        <w:t>[פורסם בנבו] (04.02.07)).</w:t>
      </w:r>
    </w:p>
    <w:p w:rsidR="00FA7A9E" w:rsidRPr="003B696A" w:rsidRDefault="00FA7A9E" w:rsidP="00FA7A9E">
      <w:pPr>
        <w:pStyle w:val="ad"/>
        <w:spacing w:after="0" w:line="360" w:lineRule="auto"/>
        <w:ind w:left="4404" w:firstLine="784"/>
        <w:jc w:val="both"/>
        <w:rPr>
          <w:rFonts w:ascii="David" w:hAnsi="David" w:cs="David"/>
          <w:sz w:val="24"/>
          <w:szCs w:val="24"/>
          <w:rtl/>
        </w:rPr>
      </w:pPr>
      <w:r w:rsidRPr="003B696A">
        <w:rPr>
          <w:rFonts w:ascii="David" w:hAnsi="David" w:cs="David"/>
          <w:sz w:val="24"/>
          <w:szCs w:val="24"/>
          <w:rtl/>
        </w:rPr>
        <w:t xml:space="preserve">        [ההדגשות אינן במקור – מ.ד.]</w:t>
      </w:r>
    </w:p>
    <w:p w:rsidR="00FA7A9E" w:rsidRPr="003B696A" w:rsidRDefault="00FA7A9E" w:rsidP="00FA7A9E">
      <w:pPr>
        <w:pStyle w:val="ad"/>
        <w:spacing w:after="0" w:line="360" w:lineRule="auto"/>
        <w:ind w:left="84" w:right="142"/>
        <w:jc w:val="both"/>
        <w:rPr>
          <w:rFonts w:ascii="David" w:hAnsi="David" w:cs="David"/>
          <w:sz w:val="24"/>
          <w:szCs w:val="24"/>
          <w:rtl/>
        </w:rPr>
      </w:pPr>
    </w:p>
    <w:p w:rsidR="00FA7A9E" w:rsidRDefault="00FA7A9E" w:rsidP="00010834">
      <w:pPr>
        <w:pStyle w:val="ad"/>
        <w:numPr>
          <w:ilvl w:val="0"/>
          <w:numId w:val="3"/>
        </w:numPr>
        <w:tabs>
          <w:tab w:val="left" w:pos="425"/>
        </w:tabs>
        <w:spacing w:after="0" w:line="360" w:lineRule="auto"/>
        <w:ind w:left="425" w:right="142" w:hanging="425"/>
        <w:jc w:val="both"/>
        <w:rPr>
          <w:rFonts w:ascii="David" w:hAnsi="David" w:cs="David"/>
          <w:sz w:val="24"/>
          <w:szCs w:val="24"/>
        </w:rPr>
      </w:pPr>
      <w:r w:rsidRPr="003B696A">
        <w:rPr>
          <w:rFonts w:ascii="David" w:hAnsi="David" w:cs="David"/>
          <w:sz w:val="24"/>
          <w:szCs w:val="24"/>
          <w:rtl/>
        </w:rPr>
        <w:t xml:space="preserve">לאחר עיון </w:t>
      </w:r>
      <w:r w:rsidR="00010834">
        <w:rPr>
          <w:rFonts w:ascii="David" w:hAnsi="David" w:cs="David" w:hint="cs"/>
          <w:sz w:val="24"/>
          <w:szCs w:val="24"/>
          <w:rtl/>
        </w:rPr>
        <w:t xml:space="preserve">ובחינה </w:t>
      </w:r>
      <w:r w:rsidRPr="003B696A">
        <w:rPr>
          <w:rFonts w:ascii="David" w:hAnsi="David" w:cs="David"/>
          <w:sz w:val="24"/>
          <w:szCs w:val="24"/>
          <w:rtl/>
        </w:rPr>
        <w:t xml:space="preserve">מהותית </w:t>
      </w:r>
      <w:r w:rsidR="00010834">
        <w:rPr>
          <w:rFonts w:ascii="David" w:hAnsi="David" w:cs="David" w:hint="cs"/>
          <w:sz w:val="24"/>
          <w:szCs w:val="24"/>
          <w:rtl/>
        </w:rPr>
        <w:t xml:space="preserve">של </w:t>
      </w:r>
      <w:r w:rsidRPr="003B696A">
        <w:rPr>
          <w:rFonts w:ascii="David" w:hAnsi="David" w:cs="David"/>
          <w:sz w:val="24"/>
          <w:szCs w:val="24"/>
          <w:rtl/>
        </w:rPr>
        <w:t>צוואת המנוחה הנושאת תאריך 21.09.2009 , לא מצאתי כי ניתן ללמוד ממנה או מלשונה, כי צוואה זו נעשתה מתוך הסתמכות על צוואת המנוח ו</w:t>
      </w:r>
      <w:r w:rsidR="004C7841">
        <w:rPr>
          <w:rFonts w:ascii="David" w:hAnsi="David" w:cs="David" w:hint="cs"/>
          <w:sz w:val="24"/>
          <w:szCs w:val="24"/>
          <w:rtl/>
        </w:rPr>
        <w:t xml:space="preserve">לא מצאתי </w:t>
      </w:r>
      <w:r w:rsidRPr="003B696A">
        <w:rPr>
          <w:rFonts w:ascii="David" w:hAnsi="David" w:cs="David"/>
          <w:sz w:val="24"/>
          <w:szCs w:val="24"/>
          <w:rtl/>
        </w:rPr>
        <w:t>כי עסקינן בצוואה הדדית</w:t>
      </w:r>
      <w:r w:rsidR="009E430C">
        <w:rPr>
          <w:rFonts w:ascii="David" w:hAnsi="David" w:cs="David" w:hint="cs"/>
          <w:sz w:val="24"/>
          <w:szCs w:val="24"/>
          <w:rtl/>
        </w:rPr>
        <w:t xml:space="preserve"> ואסביר;</w:t>
      </w:r>
      <w:r w:rsidRPr="003B696A">
        <w:rPr>
          <w:rFonts w:ascii="David" w:hAnsi="David" w:cs="David"/>
          <w:sz w:val="24"/>
          <w:szCs w:val="24"/>
          <w:rtl/>
        </w:rPr>
        <w:t xml:space="preserve"> </w:t>
      </w:r>
    </w:p>
    <w:p w:rsidR="009E430C" w:rsidRDefault="00D96100" w:rsidP="009E430C">
      <w:pPr>
        <w:pStyle w:val="ad"/>
        <w:numPr>
          <w:ilvl w:val="1"/>
          <w:numId w:val="3"/>
        </w:numPr>
        <w:tabs>
          <w:tab w:val="left" w:pos="425"/>
        </w:tabs>
        <w:spacing w:after="0" w:line="360" w:lineRule="auto"/>
        <w:ind w:left="992" w:right="142" w:hanging="567"/>
        <w:jc w:val="both"/>
        <w:rPr>
          <w:rFonts w:ascii="David" w:hAnsi="David" w:cs="David"/>
          <w:sz w:val="24"/>
          <w:szCs w:val="24"/>
        </w:rPr>
      </w:pPr>
      <w:r>
        <w:rPr>
          <w:rFonts w:ascii="David" w:hAnsi="David" w:cs="David" w:hint="cs"/>
          <w:sz w:val="24"/>
          <w:szCs w:val="24"/>
          <w:rtl/>
        </w:rPr>
        <w:t>מעיון ב</w:t>
      </w:r>
      <w:r w:rsidRPr="00D96100">
        <w:rPr>
          <w:rFonts w:ascii="David" w:hAnsi="David" w:cs="David"/>
          <w:sz w:val="24"/>
          <w:szCs w:val="24"/>
          <w:rtl/>
        </w:rPr>
        <w:t xml:space="preserve">צוואת 2009 </w:t>
      </w:r>
      <w:r w:rsidR="009E430C">
        <w:rPr>
          <w:rFonts w:ascii="David" w:hAnsi="David" w:cs="David" w:hint="cs"/>
          <w:sz w:val="24"/>
          <w:szCs w:val="24"/>
          <w:rtl/>
        </w:rPr>
        <w:t xml:space="preserve">, עולה כי המנוחה כתבה את הוראותיה בגוף </w:t>
      </w:r>
      <w:r w:rsidR="009E430C" w:rsidRPr="009E430C">
        <w:rPr>
          <w:rFonts w:ascii="David" w:hAnsi="David" w:cs="David" w:hint="cs"/>
          <w:sz w:val="24"/>
          <w:szCs w:val="24"/>
          <w:u w:val="single"/>
          <w:rtl/>
        </w:rPr>
        <w:t>ראשון</w:t>
      </w:r>
      <w:r w:rsidR="006A0E2C">
        <w:rPr>
          <w:rFonts w:ascii="David" w:hAnsi="David" w:cs="David" w:hint="cs"/>
          <w:sz w:val="24"/>
          <w:szCs w:val="24"/>
          <w:rtl/>
        </w:rPr>
        <w:t xml:space="preserve"> בלבד: "</w:t>
      </w:r>
      <w:r w:rsidR="009E430C" w:rsidRPr="006A0E2C">
        <w:rPr>
          <w:rFonts w:ascii="David" w:hAnsi="David" w:cs="David" w:hint="cs"/>
          <w:b/>
          <w:bCs/>
          <w:sz w:val="24"/>
          <w:szCs w:val="24"/>
          <w:rtl/>
        </w:rPr>
        <w:t>אני</w:t>
      </w:r>
      <w:r w:rsidR="009E430C">
        <w:rPr>
          <w:rFonts w:ascii="David" w:hAnsi="David" w:cs="David" w:hint="cs"/>
          <w:sz w:val="24"/>
          <w:szCs w:val="24"/>
          <w:rtl/>
        </w:rPr>
        <w:t xml:space="preserve"> החתומה מטה", "זוהי </w:t>
      </w:r>
      <w:r w:rsidR="009E430C" w:rsidRPr="006A0E2C">
        <w:rPr>
          <w:rFonts w:ascii="David" w:hAnsi="David" w:cs="David" w:hint="cs"/>
          <w:b/>
          <w:bCs/>
          <w:sz w:val="24"/>
          <w:szCs w:val="24"/>
          <w:rtl/>
        </w:rPr>
        <w:t>צוואתי</w:t>
      </w:r>
      <w:r w:rsidR="009E430C">
        <w:rPr>
          <w:rFonts w:ascii="David" w:hAnsi="David" w:cs="David" w:hint="cs"/>
          <w:sz w:val="24"/>
          <w:szCs w:val="24"/>
          <w:rtl/>
        </w:rPr>
        <w:t xml:space="preserve">", "את כל </w:t>
      </w:r>
      <w:r w:rsidR="009E430C" w:rsidRPr="006A0E2C">
        <w:rPr>
          <w:rFonts w:ascii="David" w:hAnsi="David" w:cs="David" w:hint="cs"/>
          <w:b/>
          <w:bCs/>
          <w:sz w:val="24"/>
          <w:szCs w:val="24"/>
          <w:rtl/>
        </w:rPr>
        <w:t>רכושי</w:t>
      </w:r>
      <w:r w:rsidR="009E430C">
        <w:rPr>
          <w:rFonts w:ascii="David" w:hAnsi="David" w:cs="David" w:hint="cs"/>
          <w:sz w:val="24"/>
          <w:szCs w:val="24"/>
          <w:rtl/>
        </w:rPr>
        <w:t xml:space="preserve">", " </w:t>
      </w:r>
      <w:r w:rsidR="009E430C" w:rsidRPr="006A0E2C">
        <w:rPr>
          <w:rFonts w:ascii="David" w:hAnsi="David" w:cs="David" w:hint="cs"/>
          <w:b/>
          <w:bCs/>
          <w:sz w:val="24"/>
          <w:szCs w:val="24"/>
          <w:rtl/>
        </w:rPr>
        <w:t>אני</w:t>
      </w:r>
      <w:r w:rsidR="009E430C">
        <w:rPr>
          <w:rFonts w:ascii="David" w:hAnsi="David" w:cs="David" w:hint="cs"/>
          <w:sz w:val="24"/>
          <w:szCs w:val="24"/>
          <w:rtl/>
        </w:rPr>
        <w:t xml:space="preserve"> מצווה", " </w:t>
      </w:r>
      <w:r w:rsidR="009E430C" w:rsidRPr="006A0E2C">
        <w:rPr>
          <w:rFonts w:ascii="David" w:hAnsi="David" w:cs="David" w:hint="cs"/>
          <w:b/>
          <w:bCs/>
          <w:sz w:val="24"/>
          <w:szCs w:val="24"/>
          <w:rtl/>
        </w:rPr>
        <w:t>אני</w:t>
      </w:r>
      <w:r w:rsidR="009E430C">
        <w:rPr>
          <w:rFonts w:ascii="David" w:hAnsi="David" w:cs="David" w:hint="cs"/>
          <w:sz w:val="24"/>
          <w:szCs w:val="24"/>
          <w:rtl/>
        </w:rPr>
        <w:t xml:space="preserve"> מורישה", "</w:t>
      </w:r>
      <w:r w:rsidR="009E430C" w:rsidRPr="006A0E2C">
        <w:rPr>
          <w:rFonts w:ascii="David" w:hAnsi="David" w:cs="David" w:hint="cs"/>
          <w:b/>
          <w:bCs/>
          <w:sz w:val="24"/>
          <w:szCs w:val="24"/>
          <w:rtl/>
        </w:rPr>
        <w:t>הנני</w:t>
      </w:r>
      <w:r w:rsidR="009E430C">
        <w:rPr>
          <w:rFonts w:ascii="David" w:hAnsi="David" w:cs="David" w:hint="cs"/>
          <w:sz w:val="24"/>
          <w:szCs w:val="24"/>
          <w:rtl/>
        </w:rPr>
        <w:t xml:space="preserve"> ממנה בזה את בתי" וכיו"ב.</w:t>
      </w:r>
    </w:p>
    <w:p w:rsidR="009E430C" w:rsidRDefault="009E430C" w:rsidP="009E430C">
      <w:pPr>
        <w:pStyle w:val="ad"/>
        <w:tabs>
          <w:tab w:val="left" w:pos="425"/>
        </w:tabs>
        <w:spacing w:after="0" w:line="360" w:lineRule="auto"/>
        <w:ind w:left="992" w:right="142"/>
        <w:jc w:val="both"/>
        <w:rPr>
          <w:rFonts w:ascii="David" w:hAnsi="David" w:cs="David"/>
          <w:sz w:val="24"/>
          <w:szCs w:val="24"/>
          <w:rtl/>
        </w:rPr>
      </w:pPr>
      <w:r>
        <w:rPr>
          <w:rFonts w:ascii="David" w:hAnsi="David" w:cs="David" w:hint="cs"/>
          <w:sz w:val="24"/>
          <w:szCs w:val="24"/>
          <w:rtl/>
        </w:rPr>
        <w:t xml:space="preserve">אין בצוואת המנוחה כל הוראה בלשון רבים, אין התייחסות לציווי משותף עם המנוח ו/או כל התייחסות כלשהי לצוואת המנוח ו/או להוראותיו.  </w:t>
      </w:r>
    </w:p>
    <w:p w:rsidR="004A3051" w:rsidRDefault="004A3051" w:rsidP="006A0E2C">
      <w:pPr>
        <w:pStyle w:val="ad"/>
        <w:tabs>
          <w:tab w:val="left" w:pos="425"/>
        </w:tabs>
        <w:spacing w:after="0" w:line="360" w:lineRule="auto"/>
        <w:ind w:left="992" w:right="142"/>
        <w:jc w:val="both"/>
        <w:rPr>
          <w:rFonts w:ascii="David" w:hAnsi="David" w:cs="David"/>
          <w:sz w:val="24"/>
          <w:szCs w:val="24"/>
          <w:rtl/>
        </w:rPr>
      </w:pPr>
      <w:r>
        <w:rPr>
          <w:rFonts w:ascii="David" w:hAnsi="David" w:cs="David"/>
          <w:sz w:val="24"/>
          <w:szCs w:val="24"/>
          <w:rtl/>
        </w:rPr>
        <w:t>כותרת צווא</w:t>
      </w:r>
      <w:r>
        <w:rPr>
          <w:rFonts w:ascii="David" w:hAnsi="David" w:cs="David" w:hint="cs"/>
          <w:sz w:val="24"/>
          <w:szCs w:val="24"/>
          <w:rtl/>
        </w:rPr>
        <w:t>ת 2009</w:t>
      </w:r>
      <w:r>
        <w:rPr>
          <w:rFonts w:ascii="David" w:hAnsi="David" w:cs="David"/>
          <w:sz w:val="24"/>
          <w:szCs w:val="24"/>
          <w:rtl/>
        </w:rPr>
        <w:t xml:space="preserve"> אינה 'הדדית'</w:t>
      </w:r>
      <w:r>
        <w:rPr>
          <w:rFonts w:ascii="David" w:hAnsi="David" w:cs="David" w:hint="cs"/>
          <w:sz w:val="24"/>
          <w:szCs w:val="24"/>
          <w:rtl/>
        </w:rPr>
        <w:t xml:space="preserve"> ו</w:t>
      </w:r>
      <w:r w:rsidRPr="003B696A">
        <w:rPr>
          <w:rFonts w:ascii="David" w:hAnsi="David" w:cs="David"/>
          <w:sz w:val="24"/>
          <w:szCs w:val="24"/>
          <w:rtl/>
        </w:rPr>
        <w:t>אין ב</w:t>
      </w:r>
      <w:r w:rsidR="006A0E2C">
        <w:rPr>
          <w:rFonts w:ascii="David" w:hAnsi="David" w:cs="David" w:hint="cs"/>
          <w:sz w:val="24"/>
          <w:szCs w:val="24"/>
          <w:rtl/>
        </w:rPr>
        <w:t>אף מש</w:t>
      </w:r>
      <w:r w:rsidRPr="003B696A">
        <w:rPr>
          <w:rFonts w:ascii="David" w:hAnsi="David" w:cs="David"/>
          <w:sz w:val="24"/>
          <w:szCs w:val="24"/>
          <w:rtl/>
        </w:rPr>
        <w:t xml:space="preserve">תי הצוואות </w:t>
      </w:r>
      <w:r w:rsidR="006A0E2C">
        <w:rPr>
          <w:rFonts w:ascii="David" w:hAnsi="David" w:cs="David" w:hint="cs"/>
          <w:sz w:val="24"/>
          <w:szCs w:val="24"/>
          <w:rtl/>
        </w:rPr>
        <w:t>( של המנוח ושל</w:t>
      </w:r>
      <w:r>
        <w:rPr>
          <w:rFonts w:ascii="David" w:hAnsi="David" w:cs="David" w:hint="cs"/>
          <w:sz w:val="24"/>
          <w:szCs w:val="24"/>
          <w:rtl/>
        </w:rPr>
        <w:t xml:space="preserve"> המנוחה) </w:t>
      </w:r>
      <w:r w:rsidRPr="003B696A">
        <w:rPr>
          <w:rFonts w:ascii="David" w:hAnsi="David" w:cs="David"/>
          <w:sz w:val="24"/>
          <w:szCs w:val="24"/>
          <w:rtl/>
        </w:rPr>
        <w:t>כל אזכור מפורש לכך כי המדובר בצוואה הדדית</w:t>
      </w:r>
      <w:r>
        <w:rPr>
          <w:rFonts w:ascii="David" w:hAnsi="David" w:cs="David" w:hint="cs"/>
          <w:sz w:val="24"/>
          <w:szCs w:val="24"/>
          <w:rtl/>
        </w:rPr>
        <w:t>.</w:t>
      </w:r>
    </w:p>
    <w:p w:rsidR="00F830F4" w:rsidRDefault="00F830F4" w:rsidP="009E430C">
      <w:pPr>
        <w:pStyle w:val="ad"/>
        <w:tabs>
          <w:tab w:val="left" w:pos="425"/>
        </w:tabs>
        <w:spacing w:after="0" w:line="360" w:lineRule="auto"/>
        <w:ind w:left="992" w:right="142"/>
        <w:jc w:val="both"/>
        <w:rPr>
          <w:rFonts w:ascii="David" w:hAnsi="David" w:cs="David"/>
          <w:sz w:val="24"/>
          <w:szCs w:val="24"/>
          <w:rtl/>
        </w:rPr>
      </w:pPr>
    </w:p>
    <w:p w:rsidR="00D97AFC" w:rsidRPr="001464EE" w:rsidRDefault="00D96100" w:rsidP="006024CF">
      <w:pPr>
        <w:pStyle w:val="ad"/>
        <w:numPr>
          <w:ilvl w:val="1"/>
          <w:numId w:val="3"/>
        </w:numPr>
        <w:tabs>
          <w:tab w:val="left" w:pos="425"/>
        </w:tabs>
        <w:spacing w:after="0" w:line="360" w:lineRule="auto"/>
        <w:ind w:left="992" w:right="142" w:hanging="567"/>
        <w:jc w:val="both"/>
        <w:rPr>
          <w:rFonts w:ascii="David" w:hAnsi="David" w:cs="David"/>
          <w:sz w:val="24"/>
          <w:szCs w:val="24"/>
        </w:rPr>
      </w:pPr>
      <w:r w:rsidRPr="006024CF">
        <w:rPr>
          <w:rFonts w:ascii="David" w:hAnsi="David" w:cs="David"/>
          <w:sz w:val="24"/>
          <w:szCs w:val="24"/>
          <w:rtl/>
        </w:rPr>
        <w:t xml:space="preserve">עורך הדין שערך את צוואת 2009 הינו </w:t>
      </w:r>
      <w:r w:rsidR="006024CF">
        <w:rPr>
          <w:rFonts w:ascii="David" w:hAnsi="David" w:cs="David" w:hint="cs"/>
          <w:sz w:val="24"/>
          <w:szCs w:val="24"/>
          <w:rtl/>
        </w:rPr>
        <w:t>עורך הדין</w:t>
      </w:r>
      <w:r w:rsidR="006A0E2C">
        <w:rPr>
          <w:rFonts w:ascii="David" w:hAnsi="David" w:cs="David" w:hint="cs"/>
          <w:sz w:val="24"/>
          <w:szCs w:val="24"/>
          <w:rtl/>
        </w:rPr>
        <w:t xml:space="preserve"> א.</w:t>
      </w:r>
      <w:r w:rsidR="006024CF">
        <w:rPr>
          <w:rFonts w:ascii="David" w:hAnsi="David" w:cs="David" w:hint="cs"/>
          <w:sz w:val="24"/>
          <w:szCs w:val="24"/>
          <w:rtl/>
        </w:rPr>
        <w:t xml:space="preserve"> הוברמן; אותו </w:t>
      </w:r>
      <w:r w:rsidRPr="006024CF">
        <w:rPr>
          <w:rFonts w:ascii="David" w:hAnsi="David" w:cs="David"/>
          <w:sz w:val="24"/>
          <w:szCs w:val="24"/>
          <w:rtl/>
        </w:rPr>
        <w:t xml:space="preserve">עורך דין שערך את </w:t>
      </w:r>
      <w:r w:rsidR="006024CF">
        <w:rPr>
          <w:rFonts w:ascii="David" w:hAnsi="David" w:cs="David" w:hint="cs"/>
          <w:sz w:val="24"/>
          <w:szCs w:val="24"/>
          <w:rtl/>
        </w:rPr>
        <w:t xml:space="preserve">גם </w:t>
      </w:r>
      <w:r w:rsidRPr="006024CF">
        <w:rPr>
          <w:rFonts w:ascii="David" w:hAnsi="David" w:cs="David"/>
          <w:sz w:val="24"/>
          <w:szCs w:val="24"/>
          <w:rtl/>
        </w:rPr>
        <w:t xml:space="preserve">צוואת 2012 </w:t>
      </w:r>
      <w:r w:rsidR="006024CF">
        <w:rPr>
          <w:rFonts w:ascii="David" w:hAnsi="David" w:cs="David" w:hint="cs"/>
          <w:sz w:val="24"/>
          <w:szCs w:val="24"/>
          <w:rtl/>
        </w:rPr>
        <w:t xml:space="preserve">. עוה"ד הוברמן ניסח עבור המנוחה את צוואת 2012 בנוסח כמעט זהה לנוסח צוואת 2009- אותן מילים, אותן הנחיות, למעט העובדה כי בצוואת 2009 היורשים היו 4 הנכדים ואילו בצוואת 2012 היורשת הינה התובעת. חזקה על עורך הדין הוברמן כי אילו ניסח את צוואת 2009 כצוואה הדדית- </w:t>
      </w:r>
      <w:r w:rsidRPr="006024CF">
        <w:rPr>
          <w:rFonts w:ascii="David" w:hAnsi="David" w:cs="David"/>
          <w:sz w:val="24"/>
          <w:szCs w:val="24"/>
          <w:rtl/>
        </w:rPr>
        <w:t>היה מוד</w:t>
      </w:r>
      <w:r w:rsidR="006024CF">
        <w:rPr>
          <w:rFonts w:ascii="David" w:hAnsi="David" w:cs="David" w:hint="cs"/>
          <w:sz w:val="24"/>
          <w:szCs w:val="24"/>
          <w:rtl/>
        </w:rPr>
        <w:t>י</w:t>
      </w:r>
      <w:r w:rsidRPr="006024CF">
        <w:rPr>
          <w:rFonts w:ascii="David" w:hAnsi="David" w:cs="David"/>
          <w:sz w:val="24"/>
          <w:szCs w:val="24"/>
          <w:rtl/>
        </w:rPr>
        <w:t xml:space="preserve">ע הוא למנוחה כי קיימת נפקות </w:t>
      </w:r>
      <w:r w:rsidRPr="001464EE">
        <w:rPr>
          <w:rFonts w:ascii="David" w:hAnsi="David" w:cs="David"/>
          <w:sz w:val="24"/>
          <w:szCs w:val="24"/>
          <w:rtl/>
        </w:rPr>
        <w:t>משפטית לעניין</w:t>
      </w:r>
      <w:r w:rsidR="006024CF" w:rsidRPr="001464EE">
        <w:rPr>
          <w:rFonts w:ascii="David" w:hAnsi="David" w:cs="David" w:hint="cs"/>
          <w:sz w:val="24"/>
          <w:szCs w:val="24"/>
          <w:rtl/>
        </w:rPr>
        <w:t xml:space="preserve"> וכי ניסוחה של צוואת 2012 הינו בעייתי</w:t>
      </w:r>
      <w:r w:rsidR="00D97AFC" w:rsidRPr="001464EE">
        <w:rPr>
          <w:rFonts w:ascii="David" w:hAnsi="David" w:cs="David" w:hint="cs"/>
          <w:sz w:val="24"/>
          <w:szCs w:val="24"/>
          <w:rtl/>
        </w:rPr>
        <w:t>.</w:t>
      </w:r>
    </w:p>
    <w:p w:rsidR="00F830F4" w:rsidRPr="001464EE" w:rsidRDefault="00F830F4" w:rsidP="00F830F4">
      <w:pPr>
        <w:pStyle w:val="ad"/>
        <w:tabs>
          <w:tab w:val="left" w:pos="425"/>
        </w:tabs>
        <w:spacing w:after="0" w:line="360" w:lineRule="auto"/>
        <w:ind w:left="992" w:right="142"/>
        <w:jc w:val="both"/>
        <w:rPr>
          <w:rFonts w:ascii="David" w:hAnsi="David" w:cs="David"/>
          <w:sz w:val="24"/>
          <w:szCs w:val="24"/>
        </w:rPr>
      </w:pPr>
    </w:p>
    <w:p w:rsidR="00F830F4" w:rsidRDefault="00D96100" w:rsidP="009D15ED">
      <w:pPr>
        <w:pStyle w:val="ad"/>
        <w:numPr>
          <w:ilvl w:val="1"/>
          <w:numId w:val="3"/>
        </w:numPr>
        <w:tabs>
          <w:tab w:val="left" w:pos="425"/>
        </w:tabs>
        <w:spacing w:after="0" w:line="360" w:lineRule="auto"/>
        <w:ind w:left="992" w:right="142" w:hanging="567"/>
        <w:jc w:val="both"/>
        <w:rPr>
          <w:rFonts w:ascii="David" w:hAnsi="David" w:cs="David"/>
          <w:sz w:val="24"/>
          <w:szCs w:val="24"/>
        </w:rPr>
      </w:pPr>
      <w:r w:rsidRPr="001464EE">
        <w:rPr>
          <w:rFonts w:ascii="David" w:hAnsi="David" w:cs="David"/>
          <w:sz w:val="24"/>
          <w:szCs w:val="24"/>
          <w:rtl/>
        </w:rPr>
        <w:t>צוואת האב המנוח משנת 2009 קוימה במלואה</w:t>
      </w:r>
      <w:r w:rsidR="00D97AFC" w:rsidRPr="001464EE">
        <w:rPr>
          <w:rFonts w:ascii="David" w:hAnsi="David" w:cs="David" w:hint="cs"/>
          <w:sz w:val="24"/>
          <w:szCs w:val="24"/>
          <w:rtl/>
        </w:rPr>
        <w:t xml:space="preserve"> כאמור ביום 27.10.2013 על ידי רשם הירושה</w:t>
      </w:r>
      <w:r w:rsidR="00203086" w:rsidRPr="001464EE">
        <w:rPr>
          <w:rFonts w:ascii="David" w:hAnsi="David" w:cs="David" w:hint="cs"/>
          <w:sz w:val="24"/>
          <w:szCs w:val="24"/>
          <w:rtl/>
        </w:rPr>
        <w:t>; צוואת המנוח קוימה</w:t>
      </w:r>
      <w:r w:rsidRPr="001464EE">
        <w:rPr>
          <w:rFonts w:ascii="David" w:hAnsi="David" w:cs="David"/>
          <w:sz w:val="24"/>
          <w:szCs w:val="24"/>
          <w:rtl/>
        </w:rPr>
        <w:t xml:space="preserve"> כצוואה </w:t>
      </w:r>
      <w:r w:rsidRPr="001464EE">
        <w:rPr>
          <w:rFonts w:ascii="David" w:hAnsi="David" w:cs="David"/>
          <w:b/>
          <w:bCs/>
          <w:sz w:val="24"/>
          <w:szCs w:val="24"/>
          <w:rtl/>
        </w:rPr>
        <w:t>אישית</w:t>
      </w:r>
      <w:r w:rsidRPr="001464EE">
        <w:rPr>
          <w:rFonts w:ascii="David" w:hAnsi="David" w:cs="David"/>
          <w:sz w:val="24"/>
          <w:szCs w:val="24"/>
          <w:rtl/>
        </w:rPr>
        <w:t xml:space="preserve"> </w:t>
      </w:r>
      <w:r w:rsidRPr="001464EE">
        <w:rPr>
          <w:rFonts w:ascii="David" w:hAnsi="David" w:cs="David"/>
          <w:b/>
          <w:bCs/>
          <w:sz w:val="24"/>
          <w:szCs w:val="24"/>
          <w:rtl/>
        </w:rPr>
        <w:t>רגילה</w:t>
      </w:r>
      <w:r w:rsidRPr="001464EE">
        <w:rPr>
          <w:rFonts w:ascii="David" w:hAnsi="David" w:cs="David"/>
          <w:sz w:val="24"/>
          <w:szCs w:val="24"/>
          <w:rtl/>
        </w:rPr>
        <w:t xml:space="preserve"> וללא כל מגבלה</w:t>
      </w:r>
      <w:r w:rsidR="00203086" w:rsidRPr="001464EE">
        <w:rPr>
          <w:rFonts w:ascii="David" w:hAnsi="David" w:cs="David" w:hint="cs"/>
          <w:sz w:val="24"/>
          <w:szCs w:val="24"/>
          <w:rtl/>
        </w:rPr>
        <w:t xml:space="preserve"> המעידה על כי המדובר בצוואה הדדית ו/או כי ישנן הנחיות מיוחדות ונוכח היות הצוואה הדדית</w:t>
      </w:r>
      <w:r w:rsidR="005D29BA" w:rsidRPr="001464EE">
        <w:rPr>
          <w:rFonts w:ascii="David" w:hAnsi="David" w:cs="David" w:hint="cs"/>
          <w:sz w:val="24"/>
          <w:szCs w:val="24"/>
          <w:rtl/>
        </w:rPr>
        <w:t xml:space="preserve"> (שכן אין היא כזו)</w:t>
      </w:r>
      <w:r w:rsidR="00203086" w:rsidRPr="001464EE">
        <w:rPr>
          <w:rFonts w:ascii="David" w:hAnsi="David" w:cs="David" w:hint="cs"/>
          <w:sz w:val="24"/>
          <w:szCs w:val="24"/>
          <w:rtl/>
        </w:rPr>
        <w:t xml:space="preserve">. צוואת המנוח משנת 2009 הוגשה לקיום </w:t>
      </w:r>
      <w:r w:rsidR="005D29BA" w:rsidRPr="001464EE">
        <w:rPr>
          <w:rFonts w:ascii="David" w:hAnsi="David" w:cs="David" w:hint="cs"/>
          <w:sz w:val="24"/>
          <w:szCs w:val="24"/>
          <w:rtl/>
        </w:rPr>
        <w:t xml:space="preserve">כצוואה אישית </w:t>
      </w:r>
      <w:r w:rsidRPr="001464EE">
        <w:rPr>
          <w:rFonts w:ascii="David" w:hAnsi="David" w:cs="David"/>
          <w:sz w:val="24"/>
          <w:szCs w:val="24"/>
          <w:rtl/>
        </w:rPr>
        <w:t>והמתנגדות לא התנגדו לכך</w:t>
      </w:r>
      <w:r w:rsidR="00203086" w:rsidRPr="001464EE">
        <w:rPr>
          <w:rFonts w:ascii="David" w:hAnsi="David" w:cs="David" w:hint="cs"/>
          <w:sz w:val="24"/>
          <w:szCs w:val="24"/>
          <w:rtl/>
        </w:rPr>
        <w:t xml:space="preserve"> כאמור</w:t>
      </w:r>
      <w:r w:rsidRPr="001464EE">
        <w:rPr>
          <w:rFonts w:ascii="David" w:hAnsi="David" w:cs="David"/>
          <w:sz w:val="24"/>
          <w:szCs w:val="24"/>
          <w:rtl/>
        </w:rPr>
        <w:t>.</w:t>
      </w:r>
      <w:r w:rsidR="00010834" w:rsidRPr="001464EE">
        <w:rPr>
          <w:rFonts w:ascii="David" w:hAnsi="David" w:cs="David" w:hint="cs"/>
          <w:sz w:val="24"/>
          <w:szCs w:val="24"/>
          <w:rtl/>
        </w:rPr>
        <w:t xml:space="preserve"> </w:t>
      </w:r>
    </w:p>
    <w:p w:rsidR="001464EE" w:rsidRPr="001464EE" w:rsidRDefault="001464EE" w:rsidP="001464EE">
      <w:pPr>
        <w:pStyle w:val="ad"/>
        <w:rPr>
          <w:rFonts w:ascii="David" w:hAnsi="David" w:cs="David"/>
          <w:sz w:val="24"/>
          <w:szCs w:val="24"/>
          <w:rtl/>
        </w:rPr>
      </w:pPr>
    </w:p>
    <w:p w:rsidR="00843D00" w:rsidRDefault="00843D00" w:rsidP="00194D73">
      <w:pPr>
        <w:pStyle w:val="ad"/>
        <w:numPr>
          <w:ilvl w:val="1"/>
          <w:numId w:val="3"/>
        </w:numPr>
        <w:spacing w:line="360" w:lineRule="auto"/>
        <w:ind w:left="992" w:hanging="567"/>
        <w:jc w:val="both"/>
        <w:rPr>
          <w:rFonts w:ascii="David" w:hAnsi="David" w:cs="David"/>
          <w:sz w:val="24"/>
          <w:szCs w:val="24"/>
        </w:rPr>
      </w:pPr>
      <w:r>
        <w:rPr>
          <w:rFonts w:ascii="David" w:hAnsi="David" w:cs="David"/>
          <w:sz w:val="24"/>
          <w:szCs w:val="24"/>
          <w:rtl/>
        </w:rPr>
        <w:t>סעיף 1 לצווא</w:t>
      </w:r>
      <w:r w:rsidR="00D96100" w:rsidRPr="00843D00">
        <w:rPr>
          <w:rFonts w:ascii="David" w:hAnsi="David" w:cs="David"/>
          <w:sz w:val="24"/>
          <w:szCs w:val="24"/>
          <w:rtl/>
        </w:rPr>
        <w:t>ת המנוח</w:t>
      </w:r>
      <w:r>
        <w:rPr>
          <w:rFonts w:ascii="David" w:hAnsi="David" w:cs="David" w:hint="cs"/>
          <w:sz w:val="24"/>
          <w:szCs w:val="24"/>
          <w:rtl/>
        </w:rPr>
        <w:t>ה</w:t>
      </w:r>
      <w:r w:rsidR="00D96100" w:rsidRPr="00843D00">
        <w:rPr>
          <w:rFonts w:ascii="David" w:hAnsi="David" w:cs="David"/>
          <w:sz w:val="24"/>
          <w:szCs w:val="24"/>
          <w:rtl/>
        </w:rPr>
        <w:t xml:space="preserve"> משנת 2009 קבע מפורשות את כוח השינוי של הצוואה</w:t>
      </w:r>
      <w:r>
        <w:rPr>
          <w:rFonts w:ascii="David" w:hAnsi="David" w:cs="David" w:hint="cs"/>
          <w:sz w:val="24"/>
          <w:szCs w:val="24"/>
          <w:rtl/>
        </w:rPr>
        <w:t xml:space="preserve"> ואלו מילותיה של המנוחה בסעיף 1 לצוואתה:</w:t>
      </w:r>
    </w:p>
    <w:p w:rsidR="00F830F4" w:rsidRPr="00F830F4" w:rsidRDefault="00F830F4" w:rsidP="00F830F4">
      <w:pPr>
        <w:pStyle w:val="ad"/>
        <w:rPr>
          <w:rFonts w:ascii="David" w:hAnsi="David" w:cs="David"/>
          <w:sz w:val="24"/>
          <w:szCs w:val="24"/>
          <w:rtl/>
        </w:rPr>
      </w:pPr>
    </w:p>
    <w:p w:rsidR="00F830F4" w:rsidRDefault="00F830F4" w:rsidP="00F830F4">
      <w:pPr>
        <w:pStyle w:val="ad"/>
        <w:spacing w:line="360" w:lineRule="auto"/>
        <w:ind w:left="992" w:hanging="142"/>
        <w:jc w:val="both"/>
        <w:rPr>
          <w:rFonts w:ascii="David" w:hAnsi="David" w:cs="David"/>
          <w:noProof/>
          <w:rtl/>
        </w:rPr>
      </w:pPr>
    </w:p>
    <w:p w:rsidR="00843D00" w:rsidRDefault="00843D00" w:rsidP="00F830F4">
      <w:pPr>
        <w:pStyle w:val="ad"/>
        <w:spacing w:line="360" w:lineRule="auto"/>
        <w:ind w:left="992" w:hanging="142"/>
        <w:jc w:val="both"/>
        <w:rPr>
          <w:rFonts w:ascii="David" w:hAnsi="David" w:cs="David"/>
          <w:sz w:val="24"/>
          <w:szCs w:val="24"/>
          <w:rtl/>
        </w:rPr>
      </w:pPr>
      <w:r w:rsidRPr="003B696A">
        <w:rPr>
          <w:rFonts w:ascii="David" w:hAnsi="David" w:cs="David"/>
          <w:noProof/>
        </w:rPr>
        <w:lastRenderedPageBreak/>
        <w:drawing>
          <wp:inline distT="0" distB="0" distL="0" distR="0" wp14:anchorId="4C1A0E9E" wp14:editId="1EAF97C5">
            <wp:extent cx="5400673" cy="1047750"/>
            <wp:effectExtent l="0" t="0" r="0"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0420" t="50243" r="53297" b="41641"/>
                    <a:stretch/>
                  </pic:blipFill>
                  <pic:spPr bwMode="auto">
                    <a:xfrm>
                      <a:off x="0" y="0"/>
                      <a:ext cx="5418562" cy="1051221"/>
                    </a:xfrm>
                    <a:prstGeom prst="rect">
                      <a:avLst/>
                    </a:prstGeom>
                    <a:ln>
                      <a:noFill/>
                    </a:ln>
                    <a:extLst>
                      <a:ext uri="{53640926-AAD7-44D8-BBD7-CCE9431645EC}">
                        <a14:shadowObscured xmlns:a14="http://schemas.microsoft.com/office/drawing/2010/main"/>
                      </a:ext>
                    </a:extLst>
                  </pic:spPr>
                </pic:pic>
              </a:graphicData>
            </a:graphic>
          </wp:inline>
        </w:drawing>
      </w:r>
    </w:p>
    <w:p w:rsidR="00F830F4" w:rsidRDefault="00F830F4" w:rsidP="00843D00">
      <w:pPr>
        <w:pStyle w:val="ad"/>
        <w:spacing w:line="360" w:lineRule="auto"/>
        <w:ind w:left="992"/>
        <w:jc w:val="both"/>
        <w:rPr>
          <w:rFonts w:ascii="David" w:hAnsi="David" w:cs="David"/>
          <w:sz w:val="24"/>
          <w:szCs w:val="24"/>
          <w:rtl/>
        </w:rPr>
      </w:pPr>
    </w:p>
    <w:p w:rsidR="00843D00" w:rsidRDefault="00843D00" w:rsidP="00843D00">
      <w:pPr>
        <w:pStyle w:val="ad"/>
        <w:spacing w:line="360" w:lineRule="auto"/>
        <w:ind w:left="992"/>
        <w:jc w:val="both"/>
        <w:rPr>
          <w:rFonts w:ascii="David" w:hAnsi="David" w:cs="David"/>
          <w:sz w:val="24"/>
          <w:szCs w:val="24"/>
          <w:rtl/>
        </w:rPr>
      </w:pPr>
      <w:r>
        <w:rPr>
          <w:rFonts w:ascii="David" w:hAnsi="David" w:cs="David" w:hint="cs"/>
          <w:sz w:val="24"/>
          <w:szCs w:val="24"/>
          <w:rtl/>
        </w:rPr>
        <w:t>צא ולמד, המנוחה שמרה לעצמה החירות לשנות את צוואתה בעתיד</w:t>
      </w:r>
      <w:r w:rsidRPr="00843D00">
        <w:rPr>
          <w:rFonts w:ascii="David" w:hAnsi="David" w:cs="David"/>
          <w:sz w:val="24"/>
          <w:szCs w:val="24"/>
          <w:rtl/>
        </w:rPr>
        <w:t xml:space="preserve"> </w:t>
      </w:r>
      <w:r w:rsidR="00D96100" w:rsidRPr="00843D00">
        <w:rPr>
          <w:rFonts w:ascii="David" w:hAnsi="David" w:cs="David"/>
          <w:sz w:val="24"/>
          <w:szCs w:val="24"/>
          <w:rtl/>
        </w:rPr>
        <w:t xml:space="preserve">- באמצעות צוואה אחרת בכתב בפני עדים. </w:t>
      </w:r>
    </w:p>
    <w:p w:rsidR="00843D00" w:rsidRPr="00F830F4" w:rsidRDefault="00843D00" w:rsidP="00843D00">
      <w:pPr>
        <w:pStyle w:val="ad"/>
        <w:spacing w:after="0" w:line="360" w:lineRule="auto"/>
        <w:ind w:left="992" w:right="142"/>
        <w:jc w:val="both"/>
        <w:rPr>
          <w:rFonts w:ascii="David" w:hAnsi="David" w:cs="David"/>
          <w:spacing w:val="10"/>
          <w:sz w:val="24"/>
          <w:szCs w:val="24"/>
          <w:rtl/>
          <w:lang w:eastAsia="he-IL"/>
        </w:rPr>
      </w:pPr>
      <w:r w:rsidRPr="003B696A">
        <w:rPr>
          <w:rFonts w:ascii="David" w:hAnsi="David" w:cs="David"/>
          <w:spacing w:val="10"/>
          <w:sz w:val="24"/>
          <w:szCs w:val="24"/>
          <w:rtl/>
          <w:lang w:eastAsia="he-IL"/>
        </w:rPr>
        <w:t xml:space="preserve">מן האמור, הרי שהמנוחה לא התייחסה בצוואתה לצוואת המנוח, לא קשרה את אפשרות השינוי של צוואתה בצוואת המנוח ולמעשה קבעה </w:t>
      </w:r>
      <w:r w:rsidR="00F830F4">
        <w:rPr>
          <w:rFonts w:ascii="David" w:hAnsi="David" w:cs="David" w:hint="cs"/>
          <w:spacing w:val="10"/>
          <w:sz w:val="24"/>
          <w:szCs w:val="24"/>
          <w:rtl/>
          <w:lang w:eastAsia="he-IL"/>
        </w:rPr>
        <w:t xml:space="preserve">מפורשות </w:t>
      </w:r>
      <w:r w:rsidRPr="003B696A">
        <w:rPr>
          <w:rFonts w:ascii="David" w:hAnsi="David" w:cs="David"/>
          <w:spacing w:val="10"/>
          <w:sz w:val="24"/>
          <w:szCs w:val="24"/>
          <w:rtl/>
          <w:lang w:eastAsia="he-IL"/>
        </w:rPr>
        <w:t xml:space="preserve">כי תוכל לשנות את צוואתה, ע"י צוואה אחרת שתעשה כדין בכתב ובפני עדים במועד </w:t>
      </w:r>
      <w:r w:rsidRPr="00F830F4">
        <w:rPr>
          <w:rFonts w:ascii="David" w:hAnsi="David" w:cs="David"/>
          <w:spacing w:val="10"/>
          <w:sz w:val="24"/>
          <w:szCs w:val="24"/>
          <w:rtl/>
          <w:lang w:eastAsia="he-IL"/>
        </w:rPr>
        <w:t>מאוחר יותר.</w:t>
      </w:r>
    </w:p>
    <w:p w:rsidR="00F830F4" w:rsidRPr="00F830F4" w:rsidRDefault="00F830F4" w:rsidP="00843D00">
      <w:pPr>
        <w:pStyle w:val="ad"/>
        <w:spacing w:after="0" w:line="360" w:lineRule="auto"/>
        <w:ind w:left="992" w:right="142"/>
        <w:jc w:val="both"/>
        <w:rPr>
          <w:rFonts w:ascii="David" w:hAnsi="David" w:cs="David"/>
          <w:spacing w:val="10"/>
          <w:sz w:val="24"/>
          <w:szCs w:val="24"/>
          <w:rtl/>
          <w:lang w:eastAsia="he-IL"/>
        </w:rPr>
      </w:pPr>
    </w:p>
    <w:p w:rsidR="00B11055" w:rsidRDefault="00F830F4" w:rsidP="005D29BA">
      <w:pPr>
        <w:pStyle w:val="ad"/>
        <w:spacing w:after="0" w:line="360" w:lineRule="auto"/>
        <w:ind w:left="992" w:right="142"/>
        <w:jc w:val="both"/>
        <w:rPr>
          <w:rFonts w:ascii="David" w:hAnsi="David" w:cs="David"/>
          <w:spacing w:val="10"/>
          <w:sz w:val="24"/>
          <w:szCs w:val="24"/>
          <w:rtl/>
          <w:lang w:eastAsia="he-IL"/>
        </w:rPr>
      </w:pPr>
      <w:r w:rsidRPr="00F830F4">
        <w:rPr>
          <w:rFonts w:ascii="David" w:hAnsi="David" w:cs="David"/>
          <w:sz w:val="24"/>
          <w:szCs w:val="24"/>
          <w:rtl/>
        </w:rPr>
        <w:t>ב</w:t>
      </w:r>
      <w:hyperlink r:id="rId18" w:history="1">
        <w:r w:rsidRPr="00F830F4">
          <w:rPr>
            <w:rFonts w:ascii="David" w:hAnsi="David" w:cs="David"/>
            <w:sz w:val="24"/>
            <w:szCs w:val="24"/>
            <w:u w:val="single"/>
            <w:rtl/>
          </w:rPr>
          <w:t>ע"א 4402/98</w:t>
        </w:r>
      </w:hyperlink>
      <w:r w:rsidRPr="00F830F4">
        <w:rPr>
          <w:rFonts w:ascii="David" w:hAnsi="David" w:cs="David"/>
          <w:sz w:val="24"/>
          <w:szCs w:val="24"/>
          <w:rtl/>
        </w:rPr>
        <w:t xml:space="preserve"> </w:t>
      </w:r>
      <w:r w:rsidRPr="00F830F4">
        <w:rPr>
          <w:rFonts w:ascii="David" w:hAnsi="David" w:cs="David"/>
          <w:b/>
          <w:bCs/>
          <w:sz w:val="24"/>
          <w:szCs w:val="24"/>
          <w:rtl/>
        </w:rPr>
        <w:t xml:space="preserve">יצחק מלמד נ' סלומון אשכנזי </w:t>
      </w:r>
      <w:r w:rsidRPr="00F830F4">
        <w:rPr>
          <w:rFonts w:ascii="David" w:hAnsi="David" w:cs="David"/>
          <w:sz w:val="24"/>
          <w:szCs w:val="24"/>
          <w:rtl/>
        </w:rPr>
        <w:t>,</w:t>
      </w:r>
      <w:r w:rsidR="00843D00" w:rsidRPr="00F830F4">
        <w:rPr>
          <w:rFonts w:ascii="David" w:hAnsi="David" w:cs="David"/>
          <w:spacing w:val="10"/>
          <w:sz w:val="24"/>
          <w:szCs w:val="24"/>
          <w:rtl/>
          <w:lang w:eastAsia="he-IL"/>
        </w:rPr>
        <w:t xml:space="preserve">האמור לעיל, </w:t>
      </w:r>
      <w:r w:rsidR="00B11055">
        <w:rPr>
          <w:rFonts w:ascii="David" w:hAnsi="David" w:cs="David" w:hint="cs"/>
          <w:spacing w:val="10"/>
          <w:sz w:val="24"/>
          <w:szCs w:val="24"/>
          <w:rtl/>
          <w:lang w:eastAsia="he-IL"/>
        </w:rPr>
        <w:t>נכללה בצווא</w:t>
      </w:r>
      <w:r w:rsidR="005D29BA">
        <w:rPr>
          <w:rFonts w:ascii="David" w:hAnsi="David" w:cs="David" w:hint="cs"/>
          <w:spacing w:val="10"/>
          <w:sz w:val="24"/>
          <w:szCs w:val="24"/>
          <w:rtl/>
          <w:lang w:eastAsia="he-IL"/>
        </w:rPr>
        <w:t>ת המנוחה</w:t>
      </w:r>
      <w:r w:rsidR="00B11055">
        <w:rPr>
          <w:rFonts w:ascii="David" w:hAnsi="David" w:cs="David" w:hint="cs"/>
          <w:spacing w:val="10"/>
          <w:sz w:val="24"/>
          <w:szCs w:val="24"/>
          <w:rtl/>
          <w:lang w:eastAsia="he-IL"/>
        </w:rPr>
        <w:t xml:space="preserve"> </w:t>
      </w:r>
      <w:r w:rsidR="00026642">
        <w:rPr>
          <w:rFonts w:ascii="David" w:hAnsi="David" w:cs="David" w:hint="cs"/>
          <w:spacing w:val="10"/>
          <w:sz w:val="24"/>
          <w:szCs w:val="24"/>
          <w:rtl/>
          <w:lang w:eastAsia="he-IL"/>
        </w:rPr>
        <w:t>הנדונה בפסק הדין, ההוראה הבאה</w:t>
      </w:r>
      <w:r w:rsidR="00B11055">
        <w:rPr>
          <w:rFonts w:ascii="David" w:hAnsi="David" w:cs="David" w:hint="cs"/>
          <w:spacing w:val="10"/>
          <w:sz w:val="24"/>
          <w:szCs w:val="24"/>
          <w:rtl/>
          <w:lang w:eastAsia="he-IL"/>
        </w:rPr>
        <w:t>:</w:t>
      </w:r>
    </w:p>
    <w:p w:rsidR="00B11055" w:rsidRPr="00026642" w:rsidRDefault="00026642" w:rsidP="00026642">
      <w:pPr>
        <w:pStyle w:val="af"/>
        <w:tabs>
          <w:tab w:val="left" w:pos="8363"/>
        </w:tabs>
        <w:spacing w:line="360" w:lineRule="auto"/>
        <w:ind w:left="992" w:right="142"/>
        <w:rPr>
          <w:rFonts w:ascii="David" w:hAnsi="David" w:cs="David"/>
          <w:b/>
          <w:bCs/>
        </w:rPr>
      </w:pPr>
      <w:r w:rsidRPr="00026642">
        <w:rPr>
          <w:rFonts w:ascii="David" w:hAnsi="David" w:cs="David" w:hint="cs"/>
          <w:b/>
          <w:bCs/>
          <w:rtl/>
        </w:rPr>
        <w:t>"</w:t>
      </w:r>
      <w:r w:rsidR="00B11055" w:rsidRPr="00026642">
        <w:rPr>
          <w:rFonts w:ascii="David" w:hAnsi="David" w:cs="David"/>
          <w:b/>
          <w:bCs/>
          <w:rtl/>
        </w:rPr>
        <w:t>הנני קובעת במפורש כי אני רשאית בכל עת שארצה, לבטל ו/או לשנות את צוואתי זו, להוסיף או לגרוע ממנה כרצוני. כל שינוי כזה יהיה מחייב במידה וייעשה בכתב ובנוכחות עדים כנדרש עפ"י דין".</w:t>
      </w:r>
    </w:p>
    <w:p w:rsidR="00026642" w:rsidRDefault="00B11055" w:rsidP="001464EE">
      <w:pPr>
        <w:pStyle w:val="ae"/>
        <w:spacing w:line="360" w:lineRule="auto"/>
        <w:ind w:left="992" w:firstLine="0"/>
        <w:rPr>
          <w:rFonts w:ascii="David" w:hAnsi="David" w:cs="David"/>
          <w:rtl/>
        </w:rPr>
      </w:pPr>
      <w:r w:rsidRPr="00B11055">
        <w:rPr>
          <w:rFonts w:ascii="David" w:hAnsi="David" w:cs="David"/>
          <w:rtl/>
        </w:rPr>
        <w:t xml:space="preserve">הוראה זו קובעת במפורש כי כל מצווה שומר לעצמו את הכוח לבטל בכל עת את צוואתו או לשנותה. דומה שהדיבור "בכל עת" משתרע על פרק הזמן שמעת </w:t>
      </w:r>
      <w:r w:rsidR="001464EE">
        <w:rPr>
          <w:rFonts w:ascii="David" w:hAnsi="David" w:cs="David"/>
          <w:rtl/>
        </w:rPr>
        <w:t>עריכת הצוואה ועד למותו של המצוו</w:t>
      </w:r>
      <w:r w:rsidR="001464EE">
        <w:rPr>
          <w:rFonts w:ascii="David" w:hAnsi="David" w:cs="David" w:hint="cs"/>
          <w:rtl/>
        </w:rPr>
        <w:t>ה</w:t>
      </w:r>
      <w:r w:rsidR="001464EE">
        <w:rPr>
          <w:rFonts w:ascii="David" w:hAnsi="David" w:cs="David" w:hint="cs"/>
          <w:color w:val="FF0000"/>
          <w:rtl/>
        </w:rPr>
        <w:t>.</w:t>
      </w:r>
      <w:r w:rsidRPr="0004124D">
        <w:rPr>
          <w:rFonts w:ascii="David" w:hAnsi="David" w:cs="David"/>
          <w:color w:val="FF0000"/>
          <w:rtl/>
        </w:rPr>
        <w:t xml:space="preserve"> </w:t>
      </w:r>
    </w:p>
    <w:p w:rsidR="00434D64" w:rsidRDefault="00026642" w:rsidP="0004124D">
      <w:pPr>
        <w:pStyle w:val="ae"/>
        <w:spacing w:line="360" w:lineRule="auto"/>
        <w:ind w:left="992" w:firstLine="0"/>
        <w:rPr>
          <w:rFonts w:ascii="David" w:hAnsi="David" w:cs="David"/>
          <w:rtl/>
        </w:rPr>
      </w:pPr>
      <w:r>
        <w:rPr>
          <w:rFonts w:ascii="David" w:hAnsi="David" w:cs="David" w:hint="cs"/>
          <w:rtl/>
        </w:rPr>
        <w:t xml:space="preserve">ביהמ"ש העליון קבע דשם </w:t>
      </w:r>
      <w:r w:rsidR="00B11055" w:rsidRPr="00B11055">
        <w:rPr>
          <w:rFonts w:ascii="David" w:hAnsi="David" w:cs="David"/>
          <w:rtl/>
        </w:rPr>
        <w:t xml:space="preserve">כי כנגד אינטרס ההסתמכות המצוי לכאורה בידי מצווה בצוואה משותפת והדדית ביחסיו עם המצווה האחר, באה הודעה מפורשת בצוואה שלפיה חרף ההדדיות </w:t>
      </w:r>
      <w:r w:rsidR="00B11055" w:rsidRPr="00434D64">
        <w:rPr>
          <w:rFonts w:ascii="David" w:hAnsi="David" w:cs="David"/>
          <w:b/>
          <w:bCs/>
          <w:rtl/>
        </w:rPr>
        <w:t>נשמר כוח השינוי.</w:t>
      </w:r>
      <w:r w:rsidR="00B11055" w:rsidRPr="00B11055">
        <w:rPr>
          <w:rFonts w:ascii="David" w:hAnsi="David" w:cs="David"/>
          <w:rtl/>
        </w:rPr>
        <w:t xml:space="preserve"> </w:t>
      </w:r>
      <w:r w:rsidR="00434D64">
        <w:rPr>
          <w:rFonts w:ascii="David" w:hAnsi="David" w:cs="David" w:hint="cs"/>
          <w:rtl/>
        </w:rPr>
        <w:t xml:space="preserve"> </w:t>
      </w:r>
      <w:r w:rsidR="00B11055" w:rsidRPr="00B11055">
        <w:rPr>
          <w:rFonts w:ascii="David" w:hAnsi="David" w:cs="David"/>
          <w:rtl/>
        </w:rPr>
        <w:t>גם אם הי</w:t>
      </w:r>
      <w:r w:rsidR="00434D64">
        <w:rPr>
          <w:rFonts w:ascii="David" w:hAnsi="David" w:cs="David" w:hint="cs"/>
          <w:rtl/>
        </w:rPr>
        <w:t xml:space="preserve">ה נקבע </w:t>
      </w:r>
      <w:r w:rsidR="00B11055" w:rsidRPr="00B11055">
        <w:rPr>
          <w:rFonts w:ascii="David" w:hAnsi="David" w:cs="David"/>
          <w:rtl/>
        </w:rPr>
        <w:t xml:space="preserve">כי </w:t>
      </w:r>
      <w:r w:rsidR="0004124D">
        <w:rPr>
          <w:rFonts w:ascii="David" w:hAnsi="David" w:cs="David" w:hint="cs"/>
          <w:rtl/>
        </w:rPr>
        <w:t xml:space="preserve">עסקינן </w:t>
      </w:r>
      <w:r w:rsidR="00B11055" w:rsidRPr="00B11055">
        <w:rPr>
          <w:rFonts w:ascii="David" w:hAnsi="David" w:cs="David"/>
          <w:rtl/>
        </w:rPr>
        <w:t>בצוואה משותפת והדדית</w:t>
      </w:r>
      <w:r w:rsidR="0004124D">
        <w:rPr>
          <w:rFonts w:ascii="David" w:hAnsi="David" w:cs="David" w:hint="cs"/>
          <w:rtl/>
        </w:rPr>
        <w:t>, אשר</w:t>
      </w:r>
      <w:r w:rsidR="00434D64">
        <w:rPr>
          <w:rFonts w:ascii="David" w:hAnsi="David" w:cs="David" w:hint="cs"/>
          <w:rtl/>
        </w:rPr>
        <w:t xml:space="preserve"> בה י</w:t>
      </w:r>
      <w:r w:rsidR="00B11055" w:rsidRPr="00B11055">
        <w:rPr>
          <w:rFonts w:ascii="David" w:hAnsi="David" w:cs="David"/>
          <w:rtl/>
        </w:rPr>
        <w:t xml:space="preserve">ש להגן על אינטרס ההסתמכות ההדדית של המצווים – </w:t>
      </w:r>
      <w:r w:rsidR="00434D64">
        <w:rPr>
          <w:rFonts w:ascii="David" w:hAnsi="David" w:cs="David" w:hint="cs"/>
          <w:rtl/>
        </w:rPr>
        <w:t>הרי ש</w:t>
      </w:r>
      <w:r w:rsidR="00B11055" w:rsidRPr="00B11055">
        <w:rPr>
          <w:rFonts w:ascii="David" w:hAnsi="David" w:cs="David"/>
          <w:rtl/>
        </w:rPr>
        <w:t>הגנה זו אינה נחוצה ואינה ראויה במקום שהמצווים צפו אפשרות של ביטול הצוואה או שינויה, ו</w:t>
      </w:r>
      <w:r w:rsidR="0004124D">
        <w:rPr>
          <w:rFonts w:ascii="David" w:hAnsi="David" w:cs="David" w:hint="cs"/>
          <w:rtl/>
        </w:rPr>
        <w:t xml:space="preserve">קבעו לענין זה הוראות </w:t>
      </w:r>
      <w:r w:rsidR="00B11055" w:rsidRPr="00B11055">
        <w:rPr>
          <w:rFonts w:ascii="David" w:hAnsi="David" w:cs="David"/>
          <w:rtl/>
        </w:rPr>
        <w:t xml:space="preserve">בגדרי הצוואה, כדי להסדיר עניין זה. </w:t>
      </w:r>
    </w:p>
    <w:p w:rsidR="00434D64" w:rsidRDefault="00434D64" w:rsidP="00434D64">
      <w:pPr>
        <w:pStyle w:val="ae"/>
        <w:spacing w:line="360" w:lineRule="auto"/>
        <w:ind w:left="992" w:firstLine="0"/>
        <w:rPr>
          <w:rFonts w:ascii="David" w:hAnsi="David" w:cs="David"/>
          <w:rtl/>
        </w:rPr>
      </w:pPr>
      <w:r w:rsidRPr="005D29BA">
        <w:rPr>
          <w:rFonts w:ascii="David" w:hAnsi="David" w:cs="David" w:hint="cs"/>
          <w:u w:val="single"/>
          <w:rtl/>
        </w:rPr>
        <w:t>אף במקרה דנן,</w:t>
      </w:r>
      <w:r>
        <w:rPr>
          <w:rFonts w:ascii="David" w:hAnsi="David" w:cs="David" w:hint="cs"/>
          <w:rtl/>
        </w:rPr>
        <w:t xml:space="preserve"> אין חולק כי בסעיף 1 לצוואת 2009, שמרה לעצמה המנוחה את כוח השינוי; המנוחה צפתה את האפשרות של ביטול הצוואה או שינוייה ונקטה צעדים מתאימים, בגדרי הצוואה, כדי להסדיר עניין זה.</w:t>
      </w:r>
    </w:p>
    <w:p w:rsidR="00843D00" w:rsidRPr="00F830F4" w:rsidRDefault="00194D73" w:rsidP="00194D73">
      <w:pPr>
        <w:pStyle w:val="ad"/>
        <w:spacing w:after="0" w:line="360" w:lineRule="auto"/>
        <w:ind w:left="992" w:right="142"/>
        <w:jc w:val="both"/>
        <w:rPr>
          <w:rFonts w:ascii="David" w:hAnsi="David" w:cs="David"/>
          <w:sz w:val="24"/>
          <w:szCs w:val="24"/>
        </w:rPr>
      </w:pPr>
      <w:r>
        <w:rPr>
          <w:rFonts w:ascii="David" w:hAnsi="David" w:cs="David" w:hint="cs"/>
          <w:spacing w:val="10"/>
          <w:sz w:val="24"/>
          <w:szCs w:val="24"/>
          <w:rtl/>
          <w:lang w:eastAsia="he-IL"/>
        </w:rPr>
        <w:t>אשר על כן ומאחר ו</w:t>
      </w:r>
      <w:r w:rsidR="00843D00" w:rsidRPr="00F830F4">
        <w:rPr>
          <w:rFonts w:ascii="David" w:hAnsi="David" w:cs="David"/>
          <w:spacing w:val="10"/>
          <w:sz w:val="24"/>
          <w:szCs w:val="24"/>
          <w:rtl/>
          <w:lang w:eastAsia="he-IL"/>
        </w:rPr>
        <w:t>בצווא</w:t>
      </w:r>
      <w:r>
        <w:rPr>
          <w:rFonts w:ascii="David" w:hAnsi="David" w:cs="David" w:hint="cs"/>
          <w:spacing w:val="10"/>
          <w:sz w:val="24"/>
          <w:szCs w:val="24"/>
          <w:rtl/>
          <w:lang w:eastAsia="he-IL"/>
        </w:rPr>
        <w:t xml:space="preserve">ת 2009 </w:t>
      </w:r>
      <w:r w:rsidR="00843D00" w:rsidRPr="00F830F4">
        <w:rPr>
          <w:rFonts w:ascii="David" w:hAnsi="David" w:cs="David"/>
          <w:spacing w:val="10"/>
          <w:sz w:val="24"/>
          <w:szCs w:val="24"/>
          <w:rtl/>
          <w:lang w:eastAsia="he-IL"/>
        </w:rPr>
        <w:t xml:space="preserve"> נכללה הוראה מפורשת לפיה נשמר כוח</w:t>
      </w:r>
      <w:r>
        <w:rPr>
          <w:rFonts w:ascii="David" w:hAnsi="David" w:cs="David" w:hint="cs"/>
          <w:spacing w:val="10"/>
          <w:sz w:val="24"/>
          <w:szCs w:val="24"/>
          <w:rtl/>
          <w:lang w:eastAsia="he-IL"/>
        </w:rPr>
        <w:t>ה</w:t>
      </w:r>
      <w:r w:rsidR="00843D00" w:rsidRPr="00F830F4">
        <w:rPr>
          <w:rFonts w:ascii="David" w:hAnsi="David" w:cs="David"/>
          <w:spacing w:val="10"/>
          <w:sz w:val="24"/>
          <w:szCs w:val="24"/>
          <w:rtl/>
          <w:lang w:eastAsia="he-IL"/>
        </w:rPr>
        <w:t xml:space="preserve"> של </w:t>
      </w:r>
      <w:r>
        <w:rPr>
          <w:rFonts w:ascii="David" w:hAnsi="David" w:cs="David" w:hint="cs"/>
          <w:spacing w:val="10"/>
          <w:sz w:val="24"/>
          <w:szCs w:val="24"/>
          <w:rtl/>
          <w:lang w:eastAsia="he-IL"/>
        </w:rPr>
        <w:t xml:space="preserve">המנוחה </w:t>
      </w:r>
      <w:r w:rsidR="00843D00" w:rsidRPr="00F830F4">
        <w:rPr>
          <w:rFonts w:ascii="David" w:hAnsi="David" w:cs="David"/>
          <w:spacing w:val="10"/>
          <w:sz w:val="24"/>
          <w:szCs w:val="24"/>
          <w:rtl/>
          <w:lang w:eastAsia="he-IL"/>
        </w:rPr>
        <w:t>לשנות מצוואת</w:t>
      </w:r>
      <w:r>
        <w:rPr>
          <w:rFonts w:ascii="David" w:hAnsi="David" w:cs="David" w:hint="cs"/>
          <w:spacing w:val="10"/>
          <w:sz w:val="24"/>
          <w:szCs w:val="24"/>
          <w:rtl/>
          <w:lang w:eastAsia="he-IL"/>
        </w:rPr>
        <w:t xml:space="preserve">ה (והוראה זהה לחלוטין נכללה בצוואת המנוח משנת </w:t>
      </w:r>
      <w:r>
        <w:rPr>
          <w:rFonts w:ascii="David" w:hAnsi="David" w:cs="David" w:hint="cs"/>
          <w:spacing w:val="10"/>
          <w:sz w:val="24"/>
          <w:szCs w:val="24"/>
          <w:rtl/>
          <w:lang w:eastAsia="he-IL"/>
        </w:rPr>
        <w:lastRenderedPageBreak/>
        <w:t>2009 ) ,</w:t>
      </w:r>
      <w:r w:rsidR="00843D00" w:rsidRPr="00F830F4">
        <w:rPr>
          <w:rFonts w:ascii="David" w:hAnsi="David" w:cs="David"/>
          <w:spacing w:val="10"/>
          <w:sz w:val="24"/>
          <w:szCs w:val="24"/>
          <w:rtl/>
          <w:lang w:eastAsia="he-IL"/>
        </w:rPr>
        <w:t xml:space="preserve"> </w:t>
      </w:r>
      <w:r>
        <w:rPr>
          <w:rFonts w:ascii="David" w:hAnsi="David" w:cs="David" w:hint="cs"/>
          <w:spacing w:val="10"/>
          <w:sz w:val="24"/>
          <w:szCs w:val="24"/>
          <w:rtl/>
          <w:lang w:eastAsia="he-IL"/>
        </w:rPr>
        <w:t>הרי שאין עסקינן בצוואה הדדית</w:t>
      </w:r>
      <w:r w:rsidR="0004124D">
        <w:rPr>
          <w:rFonts w:ascii="David" w:hAnsi="David" w:cs="David" w:hint="cs"/>
          <w:spacing w:val="10"/>
          <w:sz w:val="24"/>
          <w:szCs w:val="24"/>
          <w:rtl/>
          <w:lang w:eastAsia="he-IL"/>
        </w:rPr>
        <w:t xml:space="preserve"> כמשמעה בדין</w:t>
      </w:r>
      <w:r>
        <w:rPr>
          <w:rFonts w:ascii="David" w:hAnsi="David" w:cs="David" w:hint="cs"/>
          <w:spacing w:val="10"/>
          <w:sz w:val="24"/>
          <w:szCs w:val="24"/>
          <w:rtl/>
          <w:lang w:eastAsia="he-IL"/>
        </w:rPr>
        <w:t xml:space="preserve"> וה</w:t>
      </w:r>
      <w:r w:rsidR="00843D00" w:rsidRPr="00F830F4">
        <w:rPr>
          <w:rFonts w:ascii="David" w:hAnsi="David" w:cs="David"/>
          <w:spacing w:val="10"/>
          <w:sz w:val="24"/>
          <w:szCs w:val="24"/>
          <w:rtl/>
          <w:lang w:eastAsia="he-IL"/>
        </w:rPr>
        <w:t>מנ</w:t>
      </w:r>
      <w:r>
        <w:rPr>
          <w:rFonts w:ascii="David" w:hAnsi="David" w:cs="David"/>
          <w:spacing w:val="10"/>
          <w:sz w:val="24"/>
          <w:szCs w:val="24"/>
          <w:rtl/>
          <w:lang w:eastAsia="he-IL"/>
        </w:rPr>
        <w:t>וחה הייתה רשאית לשנות את צוואתה</w:t>
      </w:r>
      <w:r>
        <w:rPr>
          <w:rFonts w:ascii="David" w:hAnsi="David" w:cs="David" w:hint="cs"/>
          <w:spacing w:val="10"/>
          <w:sz w:val="24"/>
          <w:szCs w:val="24"/>
          <w:rtl/>
          <w:lang w:eastAsia="he-IL"/>
        </w:rPr>
        <w:t>.</w:t>
      </w:r>
    </w:p>
    <w:p w:rsidR="00843D00" w:rsidRPr="00F830F4" w:rsidRDefault="00843D00" w:rsidP="00843D00">
      <w:pPr>
        <w:pStyle w:val="ad"/>
        <w:spacing w:line="360" w:lineRule="auto"/>
        <w:ind w:left="992"/>
        <w:jc w:val="both"/>
        <w:rPr>
          <w:rFonts w:ascii="David" w:hAnsi="David" w:cs="David"/>
          <w:sz w:val="24"/>
          <w:szCs w:val="24"/>
          <w:rtl/>
        </w:rPr>
      </w:pPr>
    </w:p>
    <w:p w:rsidR="009C7BE1" w:rsidRDefault="009C7BE1" w:rsidP="0004124D">
      <w:pPr>
        <w:pStyle w:val="ad"/>
        <w:numPr>
          <w:ilvl w:val="1"/>
          <w:numId w:val="3"/>
        </w:numPr>
        <w:spacing w:line="360" w:lineRule="auto"/>
        <w:ind w:left="992" w:hanging="567"/>
        <w:jc w:val="both"/>
        <w:rPr>
          <w:rFonts w:ascii="David" w:hAnsi="David" w:cs="David"/>
          <w:sz w:val="24"/>
          <w:szCs w:val="24"/>
        </w:rPr>
      </w:pPr>
      <w:r>
        <w:rPr>
          <w:rFonts w:ascii="David" w:hAnsi="David" w:cs="David" w:hint="cs"/>
          <w:sz w:val="24"/>
          <w:szCs w:val="24"/>
          <w:rtl/>
        </w:rPr>
        <w:t xml:space="preserve">כאמור לעיל, </w:t>
      </w:r>
      <w:r w:rsidR="0004124D">
        <w:rPr>
          <w:rFonts w:ascii="David" w:hAnsi="David" w:cs="David" w:hint="cs"/>
          <w:sz w:val="24"/>
          <w:szCs w:val="24"/>
          <w:rtl/>
        </w:rPr>
        <w:t xml:space="preserve">בצוואת 2009 </w:t>
      </w:r>
      <w:r w:rsidR="00D96100" w:rsidRPr="00843D00">
        <w:rPr>
          <w:rFonts w:ascii="David" w:hAnsi="David" w:cs="David"/>
          <w:sz w:val="24"/>
          <w:szCs w:val="24"/>
          <w:rtl/>
        </w:rPr>
        <w:t xml:space="preserve">הורישו </w:t>
      </w:r>
      <w:r w:rsidR="0004124D">
        <w:rPr>
          <w:rFonts w:ascii="David" w:hAnsi="David" w:cs="David" w:hint="cs"/>
          <w:sz w:val="24"/>
          <w:szCs w:val="24"/>
          <w:rtl/>
        </w:rPr>
        <w:t xml:space="preserve">המנוחים </w:t>
      </w:r>
      <w:r w:rsidR="00D96100" w:rsidRPr="00843D00">
        <w:rPr>
          <w:rFonts w:ascii="David" w:hAnsi="David" w:cs="David"/>
          <w:sz w:val="24"/>
          <w:szCs w:val="24"/>
          <w:rtl/>
        </w:rPr>
        <w:t>את עיזבונם אחד ל</w:t>
      </w:r>
      <w:r w:rsidR="0004124D">
        <w:rPr>
          <w:rFonts w:ascii="David" w:hAnsi="David" w:cs="David" w:hint="cs"/>
          <w:sz w:val="24"/>
          <w:szCs w:val="24"/>
          <w:rtl/>
        </w:rPr>
        <w:t xml:space="preserve">אחר לאחר פטירת מי מהם ראשון. , כ"א מהם בצוואה נפרדת משלו. </w:t>
      </w:r>
      <w:r w:rsidR="00D96100" w:rsidRPr="00843D00">
        <w:rPr>
          <w:rFonts w:ascii="David" w:hAnsi="David" w:cs="David"/>
          <w:sz w:val="24"/>
          <w:szCs w:val="24"/>
          <w:rtl/>
        </w:rPr>
        <w:t xml:space="preserve">ואולם </w:t>
      </w:r>
      <w:r w:rsidR="0004124D">
        <w:rPr>
          <w:rFonts w:ascii="David" w:hAnsi="David" w:cs="David" w:hint="cs"/>
          <w:sz w:val="24"/>
          <w:szCs w:val="24"/>
          <w:rtl/>
        </w:rPr>
        <w:t xml:space="preserve">הם </w:t>
      </w:r>
      <w:r>
        <w:rPr>
          <w:rFonts w:ascii="David" w:hAnsi="David" w:cs="David" w:hint="cs"/>
          <w:sz w:val="24"/>
          <w:szCs w:val="24"/>
          <w:rtl/>
        </w:rPr>
        <w:t xml:space="preserve"> </w:t>
      </w:r>
      <w:r w:rsidR="00D96100" w:rsidRPr="00843D00">
        <w:rPr>
          <w:rFonts w:ascii="David" w:hAnsi="David" w:cs="David"/>
          <w:sz w:val="24"/>
          <w:szCs w:val="24"/>
          <w:rtl/>
        </w:rPr>
        <w:t>לא הגבילו בצוואה את השימוש של בן הזוג בעיזבון שקיבל ולא הגבילו אותו בהורשתו</w:t>
      </w:r>
      <w:r>
        <w:rPr>
          <w:rFonts w:ascii="David" w:hAnsi="David" w:cs="David" w:hint="cs"/>
          <w:sz w:val="24"/>
          <w:szCs w:val="24"/>
          <w:rtl/>
        </w:rPr>
        <w:t>- לא בצוואת המנוח ולא בצוואת המנוחה נכתב כי הרכוש יועבר במלואו לבן הזוג 'ובתנאי' שלא יורישו אחרת ו/או בתנאי כלשהו באשר לשימוש ברכוש. שתי צוואת המנוחים משנת 2009 העניקו חופש מוחלט ליורש- לעשות בעזבון ככל העולה על רוחו- לא כך הוא הבסיס של צוואות הדדיות.</w:t>
      </w:r>
    </w:p>
    <w:p w:rsidR="00FA7A9E" w:rsidRPr="003B696A" w:rsidRDefault="00FA7A9E" w:rsidP="00FA7A9E">
      <w:pPr>
        <w:pStyle w:val="ad"/>
        <w:rPr>
          <w:rFonts w:ascii="David" w:hAnsi="David" w:cs="David"/>
          <w:sz w:val="24"/>
          <w:szCs w:val="24"/>
          <w:rtl/>
        </w:rPr>
      </w:pPr>
    </w:p>
    <w:p w:rsidR="002138C8" w:rsidRDefault="002138C8" w:rsidP="00D32298">
      <w:pPr>
        <w:pStyle w:val="1"/>
        <w:numPr>
          <w:ilvl w:val="0"/>
          <w:numId w:val="3"/>
        </w:numPr>
        <w:tabs>
          <w:tab w:val="left" w:pos="283"/>
          <w:tab w:val="left" w:pos="850"/>
        </w:tabs>
        <w:spacing w:after="0" w:line="360" w:lineRule="auto"/>
        <w:ind w:left="0" w:firstLine="0"/>
        <w:jc w:val="both"/>
        <w:rPr>
          <w:rFonts w:ascii="David" w:hAnsi="David" w:cs="David"/>
          <w:sz w:val="24"/>
          <w:szCs w:val="24"/>
        </w:rPr>
      </w:pPr>
      <w:r>
        <w:rPr>
          <w:rFonts w:ascii="David" w:hAnsi="David" w:cs="David" w:hint="cs"/>
          <w:sz w:val="24"/>
          <w:szCs w:val="24"/>
          <w:rtl/>
        </w:rPr>
        <w:t xml:space="preserve">  א.  </w:t>
      </w:r>
      <w:r>
        <w:rPr>
          <w:rFonts w:ascii="David" w:hAnsi="David" w:cs="David" w:hint="cs"/>
          <w:sz w:val="24"/>
          <w:szCs w:val="24"/>
          <w:rtl/>
        </w:rPr>
        <w:tab/>
      </w:r>
      <w:r w:rsidR="00FA7A9E" w:rsidRPr="003B696A">
        <w:rPr>
          <w:rFonts w:ascii="David" w:hAnsi="David" w:cs="David"/>
          <w:sz w:val="24"/>
          <w:szCs w:val="24"/>
          <w:rtl/>
        </w:rPr>
        <w:t>שמתי מול עיניי גם את הודעת המייל של עוה"ד</w:t>
      </w:r>
      <w:r w:rsidR="001C15E9">
        <w:rPr>
          <w:rFonts w:ascii="David" w:hAnsi="David" w:cs="David"/>
          <w:sz w:val="24"/>
          <w:szCs w:val="24"/>
          <w:rtl/>
        </w:rPr>
        <w:t xml:space="preserve"> הוברמן אשר ערך את צוואת </w:t>
      </w:r>
      <w:r w:rsidR="005D29BA">
        <w:rPr>
          <w:rFonts w:ascii="David" w:hAnsi="David" w:cs="David" w:hint="cs"/>
          <w:sz w:val="24"/>
          <w:szCs w:val="24"/>
          <w:rtl/>
        </w:rPr>
        <w:t>כ"א</w:t>
      </w:r>
    </w:p>
    <w:p w:rsidR="001C15E9" w:rsidRDefault="002138C8" w:rsidP="00D32298">
      <w:pPr>
        <w:pStyle w:val="1"/>
        <w:tabs>
          <w:tab w:val="left" w:pos="283"/>
          <w:tab w:val="left" w:pos="850"/>
        </w:tabs>
        <w:spacing w:after="0" w:line="360" w:lineRule="auto"/>
        <w:ind w:left="0"/>
        <w:jc w:val="both"/>
        <w:rPr>
          <w:rFonts w:ascii="David" w:hAnsi="David" w:cs="David"/>
          <w:sz w:val="24"/>
          <w:szCs w:val="24"/>
        </w:rPr>
      </w:pPr>
      <w:r>
        <w:rPr>
          <w:rFonts w:ascii="David" w:hAnsi="David" w:cs="David"/>
          <w:sz w:val="24"/>
          <w:szCs w:val="24"/>
          <w:rtl/>
        </w:rPr>
        <w:tab/>
      </w:r>
      <w:r>
        <w:rPr>
          <w:rFonts w:ascii="David" w:hAnsi="David" w:cs="David"/>
          <w:sz w:val="24"/>
          <w:szCs w:val="24"/>
          <w:rtl/>
        </w:rPr>
        <w:tab/>
      </w:r>
      <w:r w:rsidR="005D29BA">
        <w:rPr>
          <w:rFonts w:ascii="David" w:hAnsi="David" w:cs="David" w:hint="cs"/>
          <w:sz w:val="24"/>
          <w:szCs w:val="24"/>
          <w:rtl/>
        </w:rPr>
        <w:t>מ</w:t>
      </w:r>
      <w:r w:rsidR="001C15E9">
        <w:rPr>
          <w:rFonts w:ascii="David" w:hAnsi="David" w:cs="David"/>
          <w:sz w:val="24"/>
          <w:szCs w:val="24"/>
          <w:rtl/>
        </w:rPr>
        <w:t>המנוח</w:t>
      </w:r>
      <w:r w:rsidR="001C15E9">
        <w:rPr>
          <w:rFonts w:ascii="David" w:hAnsi="David" w:cs="David" w:hint="cs"/>
          <w:sz w:val="24"/>
          <w:szCs w:val="24"/>
          <w:rtl/>
        </w:rPr>
        <w:t xml:space="preserve">ים </w:t>
      </w:r>
      <w:r w:rsidR="001C15E9">
        <w:rPr>
          <w:rFonts w:ascii="David" w:hAnsi="David" w:cs="David"/>
          <w:sz w:val="24"/>
          <w:szCs w:val="24"/>
          <w:rtl/>
        </w:rPr>
        <w:t>מיום 21.09.2009,</w:t>
      </w:r>
      <w:r w:rsidR="001C15E9">
        <w:rPr>
          <w:rFonts w:ascii="David" w:hAnsi="David" w:cs="David" w:hint="cs"/>
          <w:sz w:val="24"/>
          <w:szCs w:val="24"/>
          <w:rtl/>
        </w:rPr>
        <w:t xml:space="preserve"> כמו גם את צוואת המנוחה משנת 2012 ; </w:t>
      </w:r>
    </w:p>
    <w:p w:rsidR="001C15E9" w:rsidRPr="003B696A" w:rsidRDefault="001C15E9" w:rsidP="001C15E9">
      <w:pPr>
        <w:pStyle w:val="1"/>
        <w:spacing w:after="0" w:line="360" w:lineRule="auto"/>
        <w:ind w:left="0"/>
        <w:jc w:val="both"/>
        <w:rPr>
          <w:rFonts w:ascii="David" w:hAnsi="David" w:cs="David"/>
          <w:sz w:val="24"/>
          <w:szCs w:val="24"/>
          <w:rtl/>
        </w:rPr>
      </w:pPr>
    </w:p>
    <w:p w:rsidR="001C15E9" w:rsidRPr="003B696A" w:rsidRDefault="001C15E9" w:rsidP="00D32298">
      <w:pPr>
        <w:pStyle w:val="1"/>
        <w:spacing w:after="0" w:line="360" w:lineRule="auto"/>
        <w:jc w:val="both"/>
        <w:rPr>
          <w:rFonts w:ascii="David" w:hAnsi="David" w:cs="David"/>
          <w:sz w:val="24"/>
          <w:szCs w:val="24"/>
          <w:rtl/>
        </w:rPr>
      </w:pPr>
      <w:r>
        <w:rPr>
          <w:rFonts w:ascii="David" w:hAnsi="David" w:cs="David" w:hint="cs"/>
          <w:sz w:val="24"/>
          <w:szCs w:val="24"/>
          <w:rtl/>
        </w:rPr>
        <w:t xml:space="preserve">להלן </w:t>
      </w:r>
      <w:r w:rsidRPr="003B696A">
        <w:rPr>
          <w:rFonts w:ascii="David" w:hAnsi="David" w:cs="David"/>
          <w:sz w:val="24"/>
          <w:szCs w:val="24"/>
          <w:rtl/>
        </w:rPr>
        <w:t xml:space="preserve">המייל </w:t>
      </w:r>
      <w:r w:rsidR="005D29BA">
        <w:rPr>
          <w:rFonts w:ascii="David" w:hAnsi="David" w:cs="David"/>
          <w:sz w:val="24"/>
          <w:szCs w:val="24"/>
          <w:rtl/>
        </w:rPr>
        <w:t xml:space="preserve">ששלח עוה"ד אהוד הוברמן לתובעת, </w:t>
      </w:r>
      <w:r w:rsidR="005D29BA">
        <w:rPr>
          <w:rFonts w:ascii="David" w:hAnsi="David" w:cs="David" w:hint="cs"/>
          <w:sz w:val="24"/>
          <w:szCs w:val="24"/>
          <w:rtl/>
        </w:rPr>
        <w:t>ב</w:t>
      </w:r>
      <w:r w:rsidRPr="003B696A">
        <w:rPr>
          <w:rFonts w:ascii="David" w:hAnsi="David" w:cs="David"/>
          <w:sz w:val="24"/>
          <w:szCs w:val="24"/>
          <w:rtl/>
        </w:rPr>
        <w:t xml:space="preserve">יום 30.07.2019 (צורף לתצהיר התובעת שהוגש לתיק ביום 27.06.2022 וכן כנספח 4 לסיכומיה): </w:t>
      </w:r>
    </w:p>
    <w:p w:rsidR="001C15E9" w:rsidRPr="003B696A" w:rsidRDefault="001C15E9" w:rsidP="001C15E9">
      <w:pPr>
        <w:pStyle w:val="1"/>
        <w:spacing w:after="0" w:line="360" w:lineRule="auto"/>
        <w:ind w:left="0"/>
        <w:jc w:val="both"/>
        <w:rPr>
          <w:rFonts w:ascii="David" w:hAnsi="David" w:cs="David"/>
          <w:rtl/>
        </w:rPr>
      </w:pPr>
    </w:p>
    <w:p w:rsidR="001C15E9" w:rsidRDefault="001C15E9" w:rsidP="001C15E9">
      <w:pPr>
        <w:pStyle w:val="1"/>
        <w:spacing w:after="0" w:line="360" w:lineRule="auto"/>
        <w:ind w:left="0" w:right="-426"/>
        <w:jc w:val="both"/>
        <w:rPr>
          <w:rFonts w:ascii="David" w:hAnsi="David" w:cs="David"/>
          <w:noProof/>
          <w:rtl/>
        </w:rPr>
      </w:pPr>
    </w:p>
    <w:p w:rsidR="002138C8" w:rsidRDefault="002138C8" w:rsidP="001C15E9">
      <w:pPr>
        <w:pStyle w:val="1"/>
        <w:spacing w:after="0" w:line="360" w:lineRule="auto"/>
        <w:ind w:left="0"/>
        <w:jc w:val="both"/>
        <w:rPr>
          <w:rFonts w:ascii="David" w:hAnsi="David" w:cs="David"/>
          <w:sz w:val="24"/>
          <w:szCs w:val="24"/>
          <w:rtl/>
        </w:rPr>
      </w:pPr>
    </w:p>
    <w:p w:rsidR="00D32298" w:rsidRDefault="002138C8" w:rsidP="00D32298">
      <w:pPr>
        <w:pStyle w:val="1"/>
        <w:spacing w:after="0" w:line="360" w:lineRule="auto"/>
        <w:ind w:left="425"/>
        <w:jc w:val="both"/>
        <w:rPr>
          <w:rFonts w:ascii="David" w:hAnsi="David" w:cs="David"/>
          <w:sz w:val="24"/>
          <w:szCs w:val="24"/>
          <w:rtl/>
        </w:rPr>
      </w:pPr>
      <w:r>
        <w:rPr>
          <w:rFonts w:ascii="David" w:hAnsi="David" w:cs="David" w:hint="cs"/>
          <w:sz w:val="24"/>
          <w:szCs w:val="24"/>
          <w:rtl/>
        </w:rPr>
        <w:t xml:space="preserve">ב. </w:t>
      </w:r>
      <w:r w:rsidR="00D32298">
        <w:rPr>
          <w:rFonts w:ascii="David" w:hAnsi="David" w:cs="David" w:hint="cs"/>
          <w:sz w:val="24"/>
          <w:szCs w:val="24"/>
          <w:rtl/>
        </w:rPr>
        <w:t xml:space="preserve"> </w:t>
      </w:r>
      <w:r w:rsidR="005D29BA" w:rsidRPr="005D29BA">
        <w:rPr>
          <w:rFonts w:ascii="David" w:hAnsi="David" w:cs="David"/>
          <w:sz w:val="24"/>
          <w:szCs w:val="24"/>
          <w:rtl/>
        </w:rPr>
        <w:t xml:space="preserve">יוצא אפוא, כי עורך הצוואה, עוה"ד הוברמן, הבהיר במייל ששלח כי צוואת 2009 </w:t>
      </w:r>
      <w:r w:rsidR="005D29BA" w:rsidRPr="005D29BA">
        <w:rPr>
          <w:rFonts w:ascii="David" w:hAnsi="David" w:cs="David"/>
          <w:b/>
          <w:bCs/>
          <w:sz w:val="24"/>
          <w:szCs w:val="24"/>
          <w:rtl/>
        </w:rPr>
        <w:t>איננה</w:t>
      </w:r>
      <w:r w:rsidR="005D29BA" w:rsidRPr="005D29BA">
        <w:rPr>
          <w:rFonts w:ascii="David" w:hAnsi="David" w:cs="David"/>
          <w:sz w:val="24"/>
          <w:szCs w:val="24"/>
          <w:rtl/>
        </w:rPr>
        <w:t xml:space="preserve"> </w:t>
      </w:r>
    </w:p>
    <w:p w:rsidR="005D29BA" w:rsidRDefault="00D32298" w:rsidP="00D32298">
      <w:pPr>
        <w:pStyle w:val="1"/>
        <w:spacing w:after="0" w:line="360" w:lineRule="auto"/>
        <w:ind w:left="425"/>
        <w:jc w:val="both"/>
        <w:rPr>
          <w:rFonts w:ascii="David" w:hAnsi="David" w:cs="David"/>
          <w:sz w:val="24"/>
          <w:szCs w:val="24"/>
          <w:rtl/>
        </w:rPr>
      </w:pPr>
      <w:r>
        <w:rPr>
          <w:rFonts w:ascii="David" w:hAnsi="David" w:cs="David"/>
          <w:sz w:val="24"/>
          <w:szCs w:val="24"/>
          <w:rtl/>
        </w:rPr>
        <w:tab/>
      </w:r>
      <w:r w:rsidR="005D29BA" w:rsidRPr="005D29BA">
        <w:rPr>
          <w:rFonts w:ascii="David" w:hAnsi="David" w:cs="David"/>
          <w:sz w:val="24"/>
          <w:szCs w:val="24"/>
          <w:rtl/>
        </w:rPr>
        <w:t>צוואה</w:t>
      </w:r>
      <w:r>
        <w:rPr>
          <w:rFonts w:ascii="David" w:hAnsi="David" w:cs="David" w:hint="cs"/>
          <w:sz w:val="24"/>
          <w:szCs w:val="24"/>
          <w:rtl/>
        </w:rPr>
        <w:t xml:space="preserve"> </w:t>
      </w:r>
      <w:r w:rsidR="005D29BA" w:rsidRPr="005D29BA">
        <w:rPr>
          <w:rFonts w:ascii="David" w:hAnsi="David" w:cs="David"/>
          <w:sz w:val="24"/>
          <w:szCs w:val="24"/>
          <w:rtl/>
        </w:rPr>
        <w:t xml:space="preserve"> הדדית וכי נ</w:t>
      </w:r>
      <w:r w:rsidR="005D29BA">
        <w:rPr>
          <w:rFonts w:ascii="David" w:hAnsi="David" w:cs="David"/>
          <w:sz w:val="24"/>
          <w:szCs w:val="24"/>
          <w:rtl/>
        </w:rPr>
        <w:t>יתן להחליפה בצוואה מאוחרת יותר</w:t>
      </w:r>
      <w:r w:rsidR="005D29BA">
        <w:rPr>
          <w:rFonts w:ascii="David" w:hAnsi="David" w:cs="David" w:hint="cs"/>
          <w:sz w:val="24"/>
          <w:szCs w:val="24"/>
          <w:rtl/>
        </w:rPr>
        <w:t>.</w:t>
      </w:r>
    </w:p>
    <w:p w:rsidR="005D29BA" w:rsidRDefault="005D29BA" w:rsidP="00D32298">
      <w:pPr>
        <w:pStyle w:val="1"/>
        <w:spacing w:after="0" w:line="360" w:lineRule="auto"/>
        <w:jc w:val="both"/>
        <w:rPr>
          <w:rFonts w:ascii="David" w:hAnsi="David" w:cs="David"/>
          <w:sz w:val="24"/>
          <w:szCs w:val="24"/>
          <w:rtl/>
        </w:rPr>
      </w:pPr>
      <w:r w:rsidRPr="005D29BA">
        <w:rPr>
          <w:rFonts w:ascii="David" w:hAnsi="David" w:cs="David"/>
          <w:sz w:val="24"/>
          <w:szCs w:val="24"/>
          <w:rtl/>
        </w:rPr>
        <w:t xml:space="preserve">המתנגדות בחרו שלא לזמן את עו"ד הוברמן </w:t>
      </w:r>
      <w:r w:rsidR="002138C8">
        <w:rPr>
          <w:rFonts w:ascii="David" w:hAnsi="David" w:cs="David"/>
          <w:sz w:val="24"/>
          <w:szCs w:val="24"/>
          <w:rtl/>
        </w:rPr>
        <w:t>לחקירה והימנעות זו נזקפת לחובתם</w:t>
      </w:r>
      <w:r w:rsidR="002138C8">
        <w:rPr>
          <w:rFonts w:ascii="David" w:hAnsi="David" w:cs="David" w:hint="cs"/>
          <w:sz w:val="24"/>
          <w:szCs w:val="24"/>
          <w:rtl/>
        </w:rPr>
        <w:t>;</w:t>
      </w:r>
    </w:p>
    <w:p w:rsidR="002138C8" w:rsidRDefault="002138C8" w:rsidP="00D32298">
      <w:pPr>
        <w:spacing w:line="360" w:lineRule="auto"/>
        <w:ind w:left="720"/>
        <w:jc w:val="both"/>
        <w:rPr>
          <w:rFonts w:ascii="David" w:hAnsi="David"/>
        </w:rPr>
      </w:pPr>
      <w:r>
        <w:rPr>
          <w:rFonts w:ascii="David" w:hAnsi="David"/>
          <w:rtl/>
        </w:rPr>
        <w:t xml:space="preserve">אין חולק כי </w:t>
      </w:r>
      <w:r>
        <w:rPr>
          <w:rFonts w:ascii="David" w:hAnsi="David" w:hint="cs"/>
          <w:rtl/>
        </w:rPr>
        <w:t>עוה"ד הוברמן אשר ערך גם את צוואת 2009 וגם את צוואת 2012, הינו עד חיוני שיכול היה להניח בפני ביהמ"ש את אומד דעתה של המצווה.</w:t>
      </w:r>
      <w:r>
        <w:rPr>
          <w:rFonts w:ascii="David" w:hAnsi="David"/>
          <w:rtl/>
        </w:rPr>
        <w:t xml:space="preserve"> ככלל, הימנעות צד מהבאת ראיה או מהעדת עד כמוה כראיה נסיבתית העשויה להקים לחובתו של אותו צד חזקה עובדתית כי אילו הובאה אותה ראיה, היה בה כדי לפגוע בגירסתו וראה </w:t>
      </w:r>
      <w:r>
        <w:rPr>
          <w:rFonts w:ascii="David" w:hAnsi="David"/>
          <w:u w:val="single"/>
          <w:rtl/>
        </w:rPr>
        <w:t>י' קדמי</w:t>
      </w:r>
      <w:r>
        <w:rPr>
          <w:rFonts w:ascii="David" w:hAnsi="David"/>
          <w:rtl/>
        </w:rPr>
        <w:t xml:space="preserve"> </w:t>
      </w:r>
      <w:r>
        <w:rPr>
          <w:rFonts w:ascii="David" w:hAnsi="David"/>
          <w:b/>
          <w:bCs/>
          <w:rtl/>
        </w:rPr>
        <w:t>על הראיות</w:t>
      </w:r>
      <w:r>
        <w:rPr>
          <w:rFonts w:ascii="David" w:hAnsi="David"/>
          <w:rtl/>
        </w:rPr>
        <w:t xml:space="preserve">  (כרך ג, תשנ"ט) , בעמ' 1391. </w:t>
      </w:r>
    </w:p>
    <w:p w:rsidR="002138C8" w:rsidRDefault="002138C8" w:rsidP="00D32298">
      <w:pPr>
        <w:spacing w:line="360" w:lineRule="auto"/>
        <w:ind w:left="720"/>
        <w:jc w:val="both"/>
        <w:rPr>
          <w:rFonts w:ascii="David" w:hAnsi="David"/>
          <w:rtl/>
        </w:rPr>
      </w:pPr>
    </w:p>
    <w:p w:rsidR="002138C8" w:rsidRDefault="002138C8" w:rsidP="00D32298">
      <w:pPr>
        <w:spacing w:line="360" w:lineRule="auto"/>
        <w:ind w:left="720"/>
        <w:jc w:val="both"/>
        <w:rPr>
          <w:rFonts w:ascii="David" w:hAnsi="David"/>
          <w:rtl/>
        </w:rPr>
      </w:pPr>
      <w:r>
        <w:rPr>
          <w:rFonts w:ascii="David" w:hAnsi="David"/>
          <w:rtl/>
        </w:rPr>
        <w:t>הימנעות בעל דין מלהעיד עד מרכזי וחיוני בהליך, כגון ע</w:t>
      </w:r>
      <w:r>
        <w:rPr>
          <w:rFonts w:ascii="David" w:hAnsi="David" w:hint="cs"/>
          <w:rtl/>
        </w:rPr>
        <w:t>ורך ה</w:t>
      </w:r>
      <w:r>
        <w:rPr>
          <w:rFonts w:ascii="David" w:hAnsi="David"/>
          <w:rtl/>
        </w:rPr>
        <w:t>צוואה אשר היא נשוא ההליך, מקימה חזקה לכאורית לפיה המתנגד</w:t>
      </w:r>
      <w:r>
        <w:rPr>
          <w:rFonts w:ascii="David" w:hAnsi="David" w:hint="cs"/>
          <w:rtl/>
        </w:rPr>
        <w:t>ו</w:t>
      </w:r>
      <w:r>
        <w:rPr>
          <w:rFonts w:ascii="David" w:hAnsi="David"/>
          <w:rtl/>
        </w:rPr>
        <w:t>ת חשש</w:t>
      </w:r>
      <w:r>
        <w:rPr>
          <w:rFonts w:ascii="David" w:hAnsi="David" w:hint="cs"/>
          <w:rtl/>
        </w:rPr>
        <w:t>ו</w:t>
      </w:r>
      <w:r>
        <w:rPr>
          <w:rFonts w:ascii="David" w:hAnsi="David"/>
          <w:rtl/>
        </w:rPr>
        <w:t xml:space="preserve"> מפני העדת</w:t>
      </w:r>
      <w:r>
        <w:rPr>
          <w:rFonts w:ascii="David" w:hAnsi="David" w:hint="cs"/>
          <w:rtl/>
        </w:rPr>
        <w:t>ו</w:t>
      </w:r>
      <w:r>
        <w:rPr>
          <w:rFonts w:ascii="David" w:hAnsi="David"/>
          <w:rtl/>
        </w:rPr>
        <w:t xml:space="preserve"> וחשיפת</w:t>
      </w:r>
      <w:r>
        <w:rPr>
          <w:rFonts w:ascii="David" w:hAnsi="David" w:hint="cs"/>
          <w:rtl/>
        </w:rPr>
        <w:t>ו</w:t>
      </w:r>
      <w:r>
        <w:rPr>
          <w:rFonts w:ascii="David" w:hAnsi="David"/>
          <w:rtl/>
        </w:rPr>
        <w:t xml:space="preserve"> לחקירה נגדית וראה </w:t>
      </w:r>
      <w:r>
        <w:rPr>
          <w:rFonts w:ascii="David" w:hAnsi="David"/>
          <w:u w:val="single"/>
          <w:rtl/>
        </w:rPr>
        <w:t xml:space="preserve">ע"א 8151/98 </w:t>
      </w:r>
      <w:r w:rsidRPr="00B9682A">
        <w:rPr>
          <w:rFonts w:ascii="David" w:hAnsi="David"/>
          <w:b/>
          <w:bCs/>
          <w:rtl/>
        </w:rPr>
        <w:t>שטרנברג נ' צ'צ'יק</w:t>
      </w:r>
      <w:r>
        <w:rPr>
          <w:rFonts w:ascii="David" w:hAnsi="David"/>
          <w:b/>
          <w:bCs/>
          <w:rtl/>
        </w:rPr>
        <w:t xml:space="preserve"> </w:t>
      </w:r>
      <w:r>
        <w:rPr>
          <w:rFonts w:ascii="David" w:hAnsi="David"/>
          <w:rtl/>
        </w:rPr>
        <w:t>[פורסם בנבו] (04.11.2001) .</w:t>
      </w:r>
    </w:p>
    <w:p w:rsidR="002138C8" w:rsidRDefault="002138C8" w:rsidP="002138C8">
      <w:pPr>
        <w:spacing w:line="360" w:lineRule="auto"/>
        <w:jc w:val="both"/>
        <w:rPr>
          <w:rFonts w:ascii="David" w:hAnsi="David"/>
          <w:rtl/>
        </w:rPr>
      </w:pPr>
    </w:p>
    <w:p w:rsidR="002138C8" w:rsidRDefault="002138C8" w:rsidP="00D32298">
      <w:pPr>
        <w:spacing w:line="360" w:lineRule="auto"/>
        <w:ind w:firstLine="425"/>
        <w:jc w:val="both"/>
        <w:rPr>
          <w:rFonts w:ascii="David" w:hAnsi="David"/>
          <w:rtl/>
        </w:rPr>
      </w:pPr>
      <w:r>
        <w:rPr>
          <w:rFonts w:ascii="David" w:hAnsi="David" w:hint="cs"/>
          <w:rtl/>
        </w:rPr>
        <w:t xml:space="preserve">ג. </w:t>
      </w:r>
      <w:r w:rsidR="00D32298">
        <w:rPr>
          <w:rFonts w:ascii="David" w:hAnsi="David" w:hint="cs"/>
          <w:rtl/>
        </w:rPr>
        <w:t xml:space="preserve"> </w:t>
      </w:r>
      <w:r>
        <w:rPr>
          <w:rFonts w:ascii="David" w:hAnsi="David" w:hint="cs"/>
          <w:rtl/>
        </w:rPr>
        <w:t xml:space="preserve">בהמשך לכך, עתרה התובעת לזימונו של עוה"ד הוברמן לעדות; </w:t>
      </w:r>
    </w:p>
    <w:p w:rsidR="001C15E9" w:rsidRPr="005D29BA" w:rsidRDefault="00D32298" w:rsidP="00D32298">
      <w:pPr>
        <w:spacing w:line="360" w:lineRule="auto"/>
        <w:ind w:left="720" w:hanging="12"/>
        <w:jc w:val="both"/>
        <w:rPr>
          <w:rFonts w:ascii="David" w:hAnsi="David"/>
          <w:rtl/>
        </w:rPr>
      </w:pPr>
      <w:r>
        <w:rPr>
          <w:rFonts w:ascii="David" w:hAnsi="David"/>
          <w:rtl/>
        </w:rPr>
        <w:tab/>
      </w:r>
      <w:r w:rsidR="001C15E9" w:rsidRPr="005D29BA">
        <w:rPr>
          <w:rFonts w:ascii="David" w:hAnsi="David"/>
          <w:rtl/>
        </w:rPr>
        <w:t>ביום 26.12.2022 התקיים דיון הוכחות בתיק, במסגרתו התברר כי אין בכוונת עוה"ד הוברמן להתייצב לעדות</w:t>
      </w:r>
      <w:r w:rsidR="002138C8">
        <w:rPr>
          <w:rFonts w:ascii="David" w:hAnsi="David" w:hint="cs"/>
          <w:rtl/>
        </w:rPr>
        <w:t xml:space="preserve"> וחרף הזמנת התובעת</w:t>
      </w:r>
      <w:r w:rsidR="001C15E9" w:rsidRPr="005D29BA">
        <w:rPr>
          <w:rFonts w:ascii="David" w:hAnsi="David"/>
          <w:rtl/>
        </w:rPr>
        <w:t xml:space="preserve">. </w:t>
      </w:r>
    </w:p>
    <w:p w:rsidR="001C15E9" w:rsidRDefault="001C15E9" w:rsidP="00D32298">
      <w:pPr>
        <w:pStyle w:val="1"/>
        <w:spacing w:after="0" w:line="360" w:lineRule="auto"/>
        <w:jc w:val="both"/>
        <w:rPr>
          <w:rFonts w:ascii="David" w:hAnsi="David" w:cs="David"/>
          <w:sz w:val="24"/>
          <w:szCs w:val="24"/>
          <w:rtl/>
        </w:rPr>
      </w:pPr>
      <w:r w:rsidRPr="00B9682A">
        <w:rPr>
          <w:rFonts w:ascii="David" w:hAnsi="David" w:cs="David"/>
          <w:sz w:val="24"/>
          <w:szCs w:val="24"/>
          <w:u w:val="single"/>
          <w:rtl/>
        </w:rPr>
        <w:lastRenderedPageBreak/>
        <w:t>בהסכמת הצדדים</w:t>
      </w:r>
      <w:r w:rsidRPr="005D29BA">
        <w:rPr>
          <w:rFonts w:ascii="David" w:hAnsi="David" w:cs="David"/>
          <w:sz w:val="24"/>
          <w:szCs w:val="24"/>
          <w:rtl/>
        </w:rPr>
        <w:t xml:space="preserve"> נקבע כי המייל האמור ששלח עו"ד הוברמן לצורך הוכחת אומד דעת המצווים </w:t>
      </w:r>
      <w:r w:rsidR="002138C8">
        <w:rPr>
          <w:rFonts w:ascii="David" w:hAnsi="David" w:cs="David" w:hint="cs"/>
          <w:sz w:val="24"/>
          <w:szCs w:val="24"/>
          <w:rtl/>
        </w:rPr>
        <w:t xml:space="preserve">, ישמש תחליף לעדותו </w:t>
      </w:r>
      <w:r w:rsidRPr="005D29BA">
        <w:rPr>
          <w:rFonts w:ascii="David" w:hAnsi="David" w:cs="David"/>
          <w:sz w:val="24"/>
          <w:szCs w:val="24"/>
          <w:rtl/>
        </w:rPr>
        <w:t>וכך באו לידי ביטוי הדברים</w:t>
      </w:r>
      <w:r w:rsidRPr="003B696A">
        <w:rPr>
          <w:rFonts w:ascii="David" w:hAnsi="David" w:cs="David"/>
          <w:sz w:val="24"/>
          <w:szCs w:val="24"/>
          <w:rtl/>
        </w:rPr>
        <w:t xml:space="preserve"> בתרשומת המוסכמת על ידי הצדדים:</w:t>
      </w:r>
    </w:p>
    <w:p w:rsidR="001C15E9" w:rsidRDefault="001C15E9" w:rsidP="001C15E9">
      <w:pPr>
        <w:pStyle w:val="1"/>
        <w:spacing w:after="0" w:line="360" w:lineRule="auto"/>
        <w:ind w:left="0"/>
        <w:jc w:val="both"/>
        <w:rPr>
          <w:rFonts w:ascii="David" w:hAnsi="David" w:cs="David"/>
          <w:sz w:val="24"/>
          <w:szCs w:val="24"/>
          <w:rtl/>
        </w:rPr>
      </w:pPr>
    </w:p>
    <w:p w:rsidR="001C15E9" w:rsidRPr="003B696A" w:rsidRDefault="001C15E9" w:rsidP="00B9682A">
      <w:pPr>
        <w:pStyle w:val="1"/>
        <w:spacing w:after="0" w:line="360" w:lineRule="auto"/>
        <w:ind w:left="0" w:firstLine="283"/>
        <w:jc w:val="both"/>
        <w:rPr>
          <w:rFonts w:ascii="David" w:hAnsi="David" w:cs="David"/>
          <w:sz w:val="24"/>
          <w:szCs w:val="24"/>
          <w:rtl/>
        </w:rPr>
      </w:pPr>
      <w:r w:rsidRPr="003B696A">
        <w:rPr>
          <w:rFonts w:ascii="David" w:hAnsi="David" w:cs="David"/>
          <w:noProof/>
        </w:rPr>
        <w:drawing>
          <wp:inline distT="0" distB="0" distL="0" distR="0" wp14:anchorId="6376C84C" wp14:editId="5EEEF3FC">
            <wp:extent cx="4991100" cy="3695700"/>
            <wp:effectExtent l="0" t="0" r="0"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5997" t="23526" r="41270" b="14366"/>
                    <a:stretch/>
                  </pic:blipFill>
                  <pic:spPr bwMode="auto">
                    <a:xfrm>
                      <a:off x="0" y="0"/>
                      <a:ext cx="4991100" cy="3695700"/>
                    </a:xfrm>
                    <a:prstGeom prst="rect">
                      <a:avLst/>
                    </a:prstGeom>
                    <a:ln>
                      <a:noFill/>
                    </a:ln>
                    <a:extLst>
                      <a:ext uri="{53640926-AAD7-44D8-BBD7-CCE9431645EC}">
                        <a14:shadowObscured xmlns:a14="http://schemas.microsoft.com/office/drawing/2010/main"/>
                      </a:ext>
                    </a:extLst>
                  </pic:spPr>
                </pic:pic>
              </a:graphicData>
            </a:graphic>
          </wp:inline>
        </w:drawing>
      </w:r>
    </w:p>
    <w:p w:rsidR="001C15E9" w:rsidRPr="003B696A" w:rsidRDefault="001C15E9" w:rsidP="001C15E9">
      <w:pPr>
        <w:pStyle w:val="1"/>
        <w:spacing w:after="0" w:line="360" w:lineRule="auto"/>
        <w:ind w:left="0"/>
        <w:jc w:val="both"/>
        <w:rPr>
          <w:rFonts w:ascii="David" w:hAnsi="David" w:cs="David"/>
          <w:rtl/>
        </w:rPr>
      </w:pPr>
    </w:p>
    <w:p w:rsidR="009C7BE1" w:rsidRPr="001C15E9" w:rsidRDefault="001C15E9" w:rsidP="00123CC7">
      <w:pPr>
        <w:spacing w:line="360" w:lineRule="auto"/>
        <w:ind w:left="708"/>
        <w:jc w:val="both"/>
        <w:rPr>
          <w:rFonts w:ascii="David" w:hAnsi="David"/>
        </w:rPr>
      </w:pPr>
      <w:r>
        <w:rPr>
          <w:rFonts w:ascii="David" w:hAnsi="David" w:hint="cs"/>
          <w:rtl/>
        </w:rPr>
        <w:t xml:space="preserve">כאמור לעיל, משהודע כי עוה"ד הוברמן לא יתייצב לדיון ההוכחות, </w:t>
      </w:r>
      <w:r w:rsidR="00B9682A">
        <w:rPr>
          <w:rFonts w:ascii="David" w:hAnsi="David" w:hint="cs"/>
          <w:rtl/>
        </w:rPr>
        <w:t xml:space="preserve">אישרו </w:t>
      </w:r>
      <w:r w:rsidR="00B9682A">
        <w:rPr>
          <w:rFonts w:ascii="David" w:hAnsi="David"/>
          <w:rtl/>
        </w:rPr>
        <w:t xml:space="preserve">המתנגדות </w:t>
      </w:r>
      <w:r w:rsidR="009C7BE1" w:rsidRPr="001C15E9">
        <w:rPr>
          <w:rFonts w:ascii="David" w:hAnsi="David"/>
          <w:rtl/>
        </w:rPr>
        <w:t>את קבלת המסמך של המייל משנת 2019</w:t>
      </w:r>
      <w:r w:rsidR="00B9682A">
        <w:rPr>
          <w:rFonts w:ascii="David" w:hAnsi="David"/>
          <w:rtl/>
        </w:rPr>
        <w:t xml:space="preserve"> כתחליף לעדותו של עורך הצוואה ו</w:t>
      </w:r>
      <w:r w:rsidR="00B9682A">
        <w:rPr>
          <w:rFonts w:ascii="David" w:hAnsi="David" w:hint="cs"/>
          <w:rtl/>
        </w:rPr>
        <w:t xml:space="preserve">הדברים מדברים בעד עצמם. </w:t>
      </w:r>
    </w:p>
    <w:p w:rsidR="00FA7A9E" w:rsidRPr="003B696A" w:rsidRDefault="00FA7A9E" w:rsidP="00FA7A9E">
      <w:pPr>
        <w:pStyle w:val="1"/>
        <w:spacing w:after="0" w:line="360" w:lineRule="auto"/>
        <w:ind w:left="0"/>
        <w:jc w:val="both"/>
        <w:rPr>
          <w:rFonts w:ascii="David" w:hAnsi="David" w:cs="David"/>
          <w:sz w:val="24"/>
          <w:szCs w:val="24"/>
        </w:rPr>
      </w:pPr>
    </w:p>
    <w:p w:rsidR="00FA7A9E" w:rsidRPr="003B696A" w:rsidRDefault="00FA7A9E" w:rsidP="00AD2BF0">
      <w:pPr>
        <w:pStyle w:val="1"/>
        <w:numPr>
          <w:ilvl w:val="0"/>
          <w:numId w:val="3"/>
        </w:numPr>
        <w:spacing w:after="0" w:line="360" w:lineRule="auto"/>
        <w:ind w:left="425" w:hanging="567"/>
        <w:jc w:val="both"/>
        <w:rPr>
          <w:rFonts w:ascii="David" w:hAnsi="David" w:cs="David"/>
          <w:sz w:val="24"/>
          <w:szCs w:val="24"/>
        </w:rPr>
      </w:pPr>
      <w:r w:rsidRPr="003B696A">
        <w:rPr>
          <w:rFonts w:ascii="David" w:hAnsi="David" w:cs="David"/>
          <w:sz w:val="24"/>
          <w:szCs w:val="24"/>
          <w:rtl/>
        </w:rPr>
        <w:t xml:space="preserve">בבחינת למעלה מן הצורך, ייאמר כי גם לו היה מדובר בצוואה הדדית  (וכאמור, אין הדבר כך) עדיין הצוואה המאוחרת בזמן (משנת 2012)  הייתה בת תוקף, וזאת לנוכח הוראת </w:t>
      </w:r>
      <w:hyperlink r:id="rId20" w:anchor=".c" w:history="1">
        <w:r w:rsidRPr="003B696A">
          <w:rPr>
            <w:rStyle w:val="Hyperlink"/>
            <w:rFonts w:ascii="David" w:hAnsi="David" w:cs="David"/>
            <w:color w:val="auto"/>
            <w:sz w:val="24"/>
            <w:szCs w:val="24"/>
            <w:rtl/>
          </w:rPr>
          <w:t>סעיף 8א. (ג)</w:t>
        </w:r>
      </w:hyperlink>
      <w:r w:rsidRPr="003B696A">
        <w:rPr>
          <w:rFonts w:ascii="David" w:hAnsi="David" w:cs="David"/>
          <w:sz w:val="24"/>
          <w:szCs w:val="24"/>
          <w:u w:val="single"/>
          <w:rtl/>
        </w:rPr>
        <w:t xml:space="preserve"> ל</w:t>
      </w:r>
      <w:hyperlink r:id="rId21" w:history="1">
        <w:r w:rsidRPr="003B696A">
          <w:rPr>
            <w:rFonts w:ascii="David" w:hAnsi="David" w:cs="David"/>
            <w:sz w:val="24"/>
            <w:szCs w:val="24"/>
            <w:u w:val="single"/>
            <w:rtl/>
          </w:rPr>
          <w:t>חוק הירושה</w:t>
        </w:r>
      </w:hyperlink>
      <w:r w:rsidRPr="003B696A">
        <w:rPr>
          <w:rFonts w:ascii="David" w:hAnsi="David" w:cs="David"/>
          <w:sz w:val="24"/>
          <w:szCs w:val="24"/>
          <w:rtl/>
        </w:rPr>
        <w:t xml:space="preserve">, הקובע כי: </w:t>
      </w:r>
      <w:r w:rsidRPr="003B696A">
        <w:rPr>
          <w:rFonts w:ascii="David" w:hAnsi="David" w:cs="David"/>
          <w:b/>
          <w:bCs/>
          <w:sz w:val="24"/>
          <w:szCs w:val="24"/>
          <w:rtl/>
        </w:rPr>
        <w:t>"הוראות</w:t>
      </w:r>
      <w:r w:rsidRPr="003B696A">
        <w:rPr>
          <w:rFonts w:ascii="David" w:hAnsi="David" w:cs="David"/>
          <w:sz w:val="24"/>
          <w:szCs w:val="24"/>
          <w:rtl/>
        </w:rPr>
        <w:t xml:space="preserve"> </w:t>
      </w:r>
      <w:r w:rsidRPr="003B696A">
        <w:rPr>
          <w:rFonts w:ascii="David" w:hAnsi="David" w:cs="David"/>
          <w:b/>
          <w:bCs/>
          <w:sz w:val="24"/>
          <w:szCs w:val="24"/>
          <w:rtl/>
        </w:rPr>
        <w:t>סעיף קטן (ב) יחולו אם אין בצוואות ההדדיות הוראה אחרת.</w:t>
      </w:r>
      <w:r w:rsidRPr="003B696A">
        <w:rPr>
          <w:rFonts w:ascii="David" w:hAnsi="David" w:cs="David"/>
          <w:sz w:val="24"/>
          <w:szCs w:val="24"/>
          <w:rtl/>
        </w:rPr>
        <w:t xml:space="preserve">..". </w:t>
      </w:r>
    </w:p>
    <w:p w:rsidR="00FA7A9E" w:rsidRPr="003B696A" w:rsidRDefault="00FA7A9E" w:rsidP="000A3B8E">
      <w:pPr>
        <w:pStyle w:val="1"/>
        <w:spacing w:after="0" w:line="360" w:lineRule="auto"/>
        <w:ind w:left="425"/>
        <w:jc w:val="both"/>
        <w:rPr>
          <w:rFonts w:ascii="David" w:hAnsi="David" w:cs="David"/>
          <w:sz w:val="24"/>
          <w:szCs w:val="24"/>
          <w:rtl/>
        </w:rPr>
      </w:pPr>
      <w:r w:rsidRPr="003B696A">
        <w:rPr>
          <w:rFonts w:ascii="David" w:hAnsi="David" w:cs="David"/>
          <w:sz w:val="24"/>
          <w:szCs w:val="24"/>
          <w:rtl/>
        </w:rPr>
        <w:t xml:space="preserve">במקרה דנן </w:t>
      </w:r>
      <w:r w:rsidR="00AD2BF0">
        <w:rPr>
          <w:rFonts w:ascii="David" w:hAnsi="David" w:cs="David" w:hint="cs"/>
          <w:sz w:val="24"/>
          <w:szCs w:val="24"/>
          <w:rtl/>
        </w:rPr>
        <w:t>וכפ</w:t>
      </w:r>
      <w:r w:rsidR="000A3B8E">
        <w:rPr>
          <w:rFonts w:ascii="David" w:hAnsi="David" w:cs="David" w:hint="cs"/>
          <w:sz w:val="24"/>
          <w:szCs w:val="24"/>
          <w:rtl/>
        </w:rPr>
        <w:t xml:space="preserve">י שפורט לעיל, </w:t>
      </w:r>
      <w:r w:rsidRPr="003B696A">
        <w:rPr>
          <w:rFonts w:ascii="David" w:hAnsi="David" w:cs="David"/>
          <w:sz w:val="24"/>
          <w:szCs w:val="24"/>
          <w:rtl/>
        </w:rPr>
        <w:t xml:space="preserve">אכן ישנה הוראה אחרת- </w:t>
      </w:r>
      <w:r w:rsidR="000A3B8E">
        <w:rPr>
          <w:rFonts w:ascii="David" w:hAnsi="David" w:cs="David" w:hint="cs"/>
          <w:sz w:val="24"/>
          <w:szCs w:val="24"/>
          <w:rtl/>
        </w:rPr>
        <w:t xml:space="preserve">היא </w:t>
      </w:r>
      <w:r w:rsidRPr="003B696A">
        <w:rPr>
          <w:rFonts w:ascii="David" w:hAnsi="David" w:cs="David"/>
          <w:sz w:val="24"/>
          <w:szCs w:val="24"/>
          <w:rtl/>
        </w:rPr>
        <w:t xml:space="preserve">הוראת סעיף 1 לצוואת המנוחה, אשר מעניקה למורישה  את האפשרות לשנות את הצוואה כל ימי חייה. </w:t>
      </w:r>
    </w:p>
    <w:p w:rsidR="00FA7A9E" w:rsidRPr="003B696A" w:rsidRDefault="00FA7A9E" w:rsidP="000A3B8E">
      <w:pPr>
        <w:pStyle w:val="1"/>
        <w:spacing w:after="0" w:line="360" w:lineRule="auto"/>
        <w:ind w:left="425"/>
        <w:jc w:val="both"/>
        <w:rPr>
          <w:rFonts w:ascii="David" w:hAnsi="David" w:cs="David"/>
          <w:sz w:val="24"/>
          <w:szCs w:val="24"/>
          <w:rtl/>
        </w:rPr>
      </w:pPr>
      <w:r w:rsidRPr="003B696A">
        <w:rPr>
          <w:rFonts w:ascii="David" w:hAnsi="David" w:cs="David"/>
          <w:sz w:val="24"/>
          <w:szCs w:val="24"/>
          <w:rtl/>
        </w:rPr>
        <w:t xml:space="preserve">מכוח סעיף 1 לצוואת המנוחה , הרי שהוראות </w:t>
      </w:r>
      <w:hyperlink r:id="rId22" w:history="1">
        <w:r w:rsidRPr="003B696A">
          <w:rPr>
            <w:rStyle w:val="Hyperlink"/>
            <w:rFonts w:ascii="David" w:hAnsi="David" w:cs="David"/>
            <w:color w:val="auto"/>
            <w:sz w:val="24"/>
            <w:szCs w:val="24"/>
            <w:rtl/>
          </w:rPr>
          <w:t>סעיף קטן (ב)</w:t>
        </w:r>
      </w:hyperlink>
      <w:r w:rsidRPr="003B696A">
        <w:rPr>
          <w:rFonts w:ascii="David" w:hAnsi="David" w:cs="David"/>
          <w:sz w:val="24"/>
          <w:szCs w:val="24"/>
          <w:u w:val="single"/>
          <w:rtl/>
        </w:rPr>
        <w:t xml:space="preserve"> ל</w:t>
      </w:r>
      <w:hyperlink r:id="rId23" w:history="1">
        <w:r w:rsidRPr="003B696A">
          <w:rPr>
            <w:rFonts w:ascii="David" w:hAnsi="David" w:cs="David"/>
            <w:sz w:val="24"/>
            <w:szCs w:val="24"/>
            <w:u w:val="single"/>
            <w:rtl/>
          </w:rPr>
          <w:t>חוק הירושה</w:t>
        </w:r>
      </w:hyperlink>
      <w:r w:rsidRPr="003B696A">
        <w:rPr>
          <w:rFonts w:ascii="David" w:hAnsi="David" w:cs="David"/>
          <w:sz w:val="24"/>
          <w:szCs w:val="24"/>
          <w:rtl/>
        </w:rPr>
        <w:t xml:space="preserve"> אינן חלות על ענייננו, ו</w:t>
      </w:r>
      <w:r w:rsidR="000A3B8E">
        <w:rPr>
          <w:rFonts w:ascii="David" w:hAnsi="David" w:cs="David" w:hint="cs"/>
          <w:sz w:val="24"/>
          <w:szCs w:val="24"/>
          <w:rtl/>
        </w:rPr>
        <w:t xml:space="preserve">אף אם היה מדובר בצוואה הדדית, הרי שהמנוחה </w:t>
      </w:r>
      <w:r w:rsidRPr="003B696A">
        <w:rPr>
          <w:rFonts w:ascii="David" w:hAnsi="David" w:cs="David"/>
          <w:sz w:val="24"/>
          <w:szCs w:val="24"/>
          <w:rtl/>
        </w:rPr>
        <w:t>יכולה היתה לערוך צוואה אחרת</w:t>
      </w:r>
      <w:r w:rsidR="000A3B8E">
        <w:rPr>
          <w:rFonts w:ascii="David" w:hAnsi="David" w:cs="David" w:hint="cs"/>
          <w:sz w:val="24"/>
          <w:szCs w:val="24"/>
          <w:rtl/>
        </w:rPr>
        <w:t xml:space="preserve"> וכך עשתה בשנת 2012</w:t>
      </w:r>
      <w:r w:rsidRPr="003B696A">
        <w:rPr>
          <w:rFonts w:ascii="David" w:hAnsi="David" w:cs="David"/>
          <w:sz w:val="24"/>
          <w:szCs w:val="24"/>
          <w:rtl/>
        </w:rPr>
        <w:t xml:space="preserve"> . </w:t>
      </w:r>
    </w:p>
    <w:p w:rsidR="00FA7A9E" w:rsidRPr="003B696A" w:rsidRDefault="00FA7A9E" w:rsidP="00FA7A9E">
      <w:pPr>
        <w:pStyle w:val="1"/>
        <w:spacing w:after="0" w:line="360" w:lineRule="auto"/>
        <w:ind w:left="0"/>
        <w:jc w:val="both"/>
        <w:rPr>
          <w:rFonts w:ascii="David" w:hAnsi="David" w:cs="David"/>
          <w:sz w:val="24"/>
          <w:szCs w:val="24"/>
          <w:rtl/>
        </w:rPr>
      </w:pPr>
      <w:r w:rsidRPr="003B696A">
        <w:rPr>
          <w:rFonts w:ascii="David" w:hAnsi="David" w:cs="David"/>
          <w:sz w:val="24"/>
          <w:szCs w:val="24"/>
          <w:rtl/>
        </w:rPr>
        <w:t xml:space="preserve"> </w:t>
      </w:r>
    </w:p>
    <w:p w:rsidR="00FA7A9E" w:rsidRDefault="00FA7A9E" w:rsidP="000A3B8E">
      <w:pPr>
        <w:pStyle w:val="ad"/>
        <w:numPr>
          <w:ilvl w:val="0"/>
          <w:numId w:val="3"/>
        </w:numPr>
        <w:tabs>
          <w:tab w:val="left" w:pos="425"/>
        </w:tabs>
        <w:spacing w:after="0" w:line="360" w:lineRule="auto"/>
        <w:ind w:left="425" w:right="142" w:hanging="651"/>
        <w:jc w:val="both"/>
        <w:rPr>
          <w:rFonts w:ascii="David" w:hAnsi="David" w:cs="David"/>
          <w:sz w:val="24"/>
          <w:szCs w:val="24"/>
        </w:rPr>
      </w:pPr>
      <w:r w:rsidRPr="003B696A">
        <w:rPr>
          <w:rFonts w:ascii="David" w:hAnsi="David" w:cs="David"/>
          <w:sz w:val="24"/>
          <w:szCs w:val="24"/>
          <w:rtl/>
        </w:rPr>
        <w:lastRenderedPageBreak/>
        <w:t>סוף דבר, אין בפניי צוואות הדדיות, לא מבחינה פורמאלית ולא מבחינה מהותית</w:t>
      </w:r>
      <w:r w:rsidR="000A3B8E">
        <w:rPr>
          <w:rFonts w:ascii="David" w:hAnsi="David" w:cs="David" w:hint="cs"/>
          <w:sz w:val="24"/>
          <w:szCs w:val="24"/>
          <w:rtl/>
        </w:rPr>
        <w:t>- כך קוימה צוואת המנוח משנת 2009 כצוואה אישית וכך היא צוואת המנוחה משנת 2009- אישית בלבד</w:t>
      </w:r>
      <w:r w:rsidRPr="003B696A">
        <w:rPr>
          <w:rFonts w:ascii="David" w:hAnsi="David" w:cs="David"/>
          <w:sz w:val="24"/>
          <w:szCs w:val="24"/>
          <w:rtl/>
        </w:rPr>
        <w:t>.</w:t>
      </w:r>
    </w:p>
    <w:p w:rsidR="00F43E4A" w:rsidRDefault="00F43E4A" w:rsidP="00F43E4A">
      <w:pPr>
        <w:pStyle w:val="ad"/>
        <w:tabs>
          <w:tab w:val="left" w:pos="425"/>
        </w:tabs>
        <w:spacing w:after="0" w:line="360" w:lineRule="auto"/>
        <w:ind w:left="425" w:right="142"/>
        <w:jc w:val="both"/>
        <w:rPr>
          <w:rFonts w:ascii="David" w:hAnsi="David" w:cs="David"/>
          <w:sz w:val="24"/>
          <w:szCs w:val="24"/>
          <w:rtl/>
        </w:rPr>
      </w:pPr>
      <w:r>
        <w:rPr>
          <w:rFonts w:ascii="David" w:hAnsi="David" w:cs="David" w:hint="cs"/>
          <w:sz w:val="24"/>
          <w:szCs w:val="24"/>
          <w:rtl/>
        </w:rPr>
        <w:t>אשר על כן אין מקום לטענת המתנגדות כי המנוחה לא רשאית היתה לערוך צוואת 2012 ואין כל מקום לקבוע כי הוראות הדין הפכו את הצוואה המאוחרת כ 'לא תקינה' ו/או 'לא חוקית'.</w:t>
      </w:r>
    </w:p>
    <w:p w:rsidR="00123CC7" w:rsidRDefault="00123CC7" w:rsidP="00F43E4A">
      <w:pPr>
        <w:pStyle w:val="ad"/>
        <w:tabs>
          <w:tab w:val="left" w:pos="425"/>
        </w:tabs>
        <w:spacing w:after="0" w:line="360" w:lineRule="auto"/>
        <w:ind w:left="425" w:right="142"/>
        <w:jc w:val="both"/>
        <w:rPr>
          <w:rFonts w:ascii="David" w:hAnsi="David" w:cs="David"/>
          <w:sz w:val="24"/>
          <w:szCs w:val="24"/>
        </w:rPr>
      </w:pPr>
    </w:p>
    <w:p w:rsidR="00FA7A9E" w:rsidRPr="00F43E4A" w:rsidRDefault="00F43E4A" w:rsidP="00F43E4A">
      <w:pPr>
        <w:pStyle w:val="ad"/>
        <w:numPr>
          <w:ilvl w:val="0"/>
          <w:numId w:val="3"/>
        </w:numPr>
        <w:spacing w:line="360" w:lineRule="auto"/>
        <w:ind w:left="283" w:hanging="567"/>
        <w:jc w:val="both"/>
        <w:rPr>
          <w:rFonts w:ascii="David" w:hAnsi="David" w:cs="David"/>
          <w:sz w:val="24"/>
          <w:szCs w:val="24"/>
          <w:rtl/>
        </w:rPr>
      </w:pPr>
      <w:r w:rsidRPr="00F43E4A">
        <w:rPr>
          <w:rFonts w:ascii="David" w:hAnsi="David" w:cs="David"/>
          <w:sz w:val="24"/>
          <w:szCs w:val="24"/>
          <w:rtl/>
        </w:rPr>
        <w:t>באשר להסדר הקבוע בצוואת המנוחה</w:t>
      </w:r>
      <w:r>
        <w:rPr>
          <w:rFonts w:ascii="David" w:hAnsi="David" w:cs="David" w:hint="cs"/>
          <w:sz w:val="24"/>
          <w:szCs w:val="24"/>
          <w:rtl/>
        </w:rPr>
        <w:t xml:space="preserve"> משנת 2009 </w:t>
      </w:r>
      <w:r w:rsidR="00FE0517">
        <w:rPr>
          <w:rFonts w:ascii="David" w:hAnsi="David" w:cs="David" w:hint="cs"/>
          <w:sz w:val="24"/>
          <w:szCs w:val="24"/>
          <w:rtl/>
        </w:rPr>
        <w:t>ובאשר לסדר ההורשה;</w:t>
      </w:r>
    </w:p>
    <w:p w:rsidR="00FA7A9E" w:rsidRPr="00F43E4A" w:rsidRDefault="0048558D" w:rsidP="00FE0517">
      <w:pPr>
        <w:pStyle w:val="1"/>
        <w:spacing w:after="0" w:line="360" w:lineRule="auto"/>
        <w:ind w:left="283"/>
        <w:jc w:val="both"/>
        <w:rPr>
          <w:rFonts w:ascii="David" w:hAnsi="David" w:cs="David"/>
          <w:sz w:val="24"/>
          <w:szCs w:val="24"/>
          <w:rtl/>
        </w:rPr>
      </w:pPr>
      <w:hyperlink r:id="rId24" w:history="1">
        <w:r w:rsidR="00FA7A9E" w:rsidRPr="00E61418">
          <w:rPr>
            <w:rStyle w:val="Hyperlink"/>
            <w:rFonts w:ascii="David" w:hAnsi="David" w:cs="David"/>
            <w:color w:val="auto"/>
            <w:sz w:val="24"/>
            <w:szCs w:val="24"/>
            <w:rtl/>
          </w:rPr>
          <w:t>סעיף 41</w:t>
        </w:r>
      </w:hyperlink>
      <w:r w:rsidR="00FA7A9E" w:rsidRPr="00E61418">
        <w:rPr>
          <w:rFonts w:ascii="David" w:hAnsi="David" w:cs="David"/>
          <w:sz w:val="24"/>
          <w:szCs w:val="24"/>
          <w:u w:val="single"/>
          <w:rtl/>
        </w:rPr>
        <w:t xml:space="preserve"> ל</w:t>
      </w:r>
      <w:hyperlink r:id="rId25" w:history="1">
        <w:r w:rsidR="00FA7A9E" w:rsidRPr="00E61418">
          <w:rPr>
            <w:rFonts w:ascii="David" w:hAnsi="David" w:cs="David"/>
            <w:sz w:val="24"/>
            <w:szCs w:val="24"/>
            <w:u w:val="single"/>
            <w:rtl/>
          </w:rPr>
          <w:t>חוק הירושה</w:t>
        </w:r>
      </w:hyperlink>
      <w:r w:rsidR="00FA7A9E" w:rsidRPr="00F43E4A">
        <w:rPr>
          <w:rFonts w:ascii="David" w:hAnsi="David" w:cs="David"/>
          <w:sz w:val="24"/>
          <w:szCs w:val="24"/>
          <w:rtl/>
        </w:rPr>
        <w:t xml:space="preserve"> שכותרתו: "יורש </w:t>
      </w:r>
      <w:r w:rsidR="00FA7A9E" w:rsidRPr="00E61418">
        <w:rPr>
          <w:rFonts w:ascii="David" w:hAnsi="David" w:cs="David"/>
          <w:sz w:val="24"/>
          <w:szCs w:val="24"/>
          <w:u w:val="single"/>
          <w:rtl/>
        </w:rPr>
        <w:t>במקום</w:t>
      </w:r>
      <w:r w:rsidR="00FA7A9E" w:rsidRPr="00F43E4A">
        <w:rPr>
          <w:rFonts w:ascii="David" w:hAnsi="David" w:cs="David"/>
          <w:sz w:val="24"/>
          <w:szCs w:val="24"/>
          <w:rtl/>
        </w:rPr>
        <w:t xml:space="preserve"> יורש" קובע כדלקמן:</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41. (א) המצווה רשאי לצוות לשניים על מנת שיזכה השני אם לא זכה הראשון; השני יזכה אם מת הראשון לפני המצווה או שנמצא פסול לרשת או שהסתלק מן המגיע לו שלא לטובת בן-זוגו, ילדו או אחיו של המוריש.</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(ב) זכה השני, דינו כדין מי שהמצווה ציווה לו לכתחילה.</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(ג) על דרך זו רשאי המצווה לצוות גם ליותר משניים".</w:t>
      </w:r>
    </w:p>
    <w:p w:rsidR="00123CC7" w:rsidRDefault="00123CC7" w:rsidP="00FE0517">
      <w:pPr>
        <w:pStyle w:val="1"/>
        <w:spacing w:after="0" w:line="360" w:lineRule="auto"/>
        <w:ind w:left="283"/>
        <w:jc w:val="both"/>
      </w:pPr>
    </w:p>
    <w:p w:rsidR="00FA7A9E" w:rsidRPr="00F43E4A" w:rsidRDefault="0048558D" w:rsidP="00FE0517">
      <w:pPr>
        <w:pStyle w:val="1"/>
        <w:spacing w:after="0" w:line="360" w:lineRule="auto"/>
        <w:ind w:left="283"/>
        <w:jc w:val="both"/>
        <w:rPr>
          <w:rFonts w:ascii="David" w:hAnsi="David" w:cs="David"/>
          <w:sz w:val="24"/>
          <w:szCs w:val="24"/>
          <w:rtl/>
        </w:rPr>
      </w:pPr>
      <w:hyperlink r:id="rId26" w:history="1">
        <w:r w:rsidR="00FA7A9E" w:rsidRPr="00E61418">
          <w:rPr>
            <w:rStyle w:val="Hyperlink"/>
            <w:rFonts w:ascii="David" w:hAnsi="David" w:cs="David"/>
            <w:color w:val="auto"/>
            <w:sz w:val="24"/>
            <w:szCs w:val="24"/>
            <w:rtl/>
          </w:rPr>
          <w:t>סעיף 42</w:t>
        </w:r>
      </w:hyperlink>
      <w:r w:rsidR="00FA7A9E" w:rsidRPr="00E61418">
        <w:rPr>
          <w:rFonts w:ascii="David" w:hAnsi="David" w:cs="David"/>
          <w:sz w:val="24"/>
          <w:szCs w:val="24"/>
          <w:u w:val="single"/>
          <w:rtl/>
        </w:rPr>
        <w:t xml:space="preserve"> ל</w:t>
      </w:r>
      <w:hyperlink r:id="rId27" w:history="1">
        <w:r w:rsidR="00FA7A9E" w:rsidRPr="00E61418">
          <w:rPr>
            <w:rFonts w:ascii="David" w:hAnsi="David" w:cs="David"/>
            <w:sz w:val="24"/>
            <w:szCs w:val="24"/>
            <w:u w:val="single"/>
            <w:rtl/>
          </w:rPr>
          <w:t>חוק הירושה</w:t>
        </w:r>
      </w:hyperlink>
      <w:r w:rsidR="00FA7A9E" w:rsidRPr="00F43E4A">
        <w:rPr>
          <w:rFonts w:ascii="David" w:hAnsi="David" w:cs="David"/>
          <w:sz w:val="24"/>
          <w:szCs w:val="24"/>
          <w:rtl/>
        </w:rPr>
        <w:t xml:space="preserve"> שכותרתו "יורש </w:t>
      </w:r>
      <w:r w:rsidR="00FA7A9E" w:rsidRPr="00FE0517">
        <w:rPr>
          <w:rFonts w:ascii="David" w:hAnsi="David" w:cs="David"/>
          <w:sz w:val="24"/>
          <w:szCs w:val="24"/>
          <w:u w:val="single"/>
          <w:rtl/>
        </w:rPr>
        <w:t>אחר</w:t>
      </w:r>
      <w:r w:rsidR="00FA7A9E" w:rsidRPr="00F43E4A">
        <w:rPr>
          <w:rFonts w:ascii="David" w:hAnsi="David" w:cs="David"/>
          <w:sz w:val="24"/>
          <w:szCs w:val="24"/>
          <w:rtl/>
        </w:rPr>
        <w:t xml:space="preserve"> יורש" קובע כדלקמן:</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42. (א) המצווה רשאי לצוות לשניים על מנת שיזכה השני אחרי שזכה הראשון; השני יזכה במות הראשון או בהתקיים התנאי או בהגיע המועד שנקבע לכך בצוואה, הכל לפי המוקדם יותר.</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(ב) הראשון רשאי לעשות במה שקיבל כבתוך שלו, והשני לא יזכה אלא במה ששייר הראשון; אולם אין הראשון יכול לגרוע מזכותו של השני על ידי צוואה.</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(ג) השני יזכה אם היה כשר לרשת את המצווה בשעת זכייתו, אף אם לא היה כשר לכך במות המצווה; מת השני לפני שעת זכייתו או שנמצא פסול לרשת או שהסתלק מן המגיע לו, הוראת הצוואה לטובתו מתבטלת.</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(ד) הוראת צוואה על דרך זו ליותר משניים – בטלה, זולת הוראה לטובתו של מי שהיה בחיים בשעת עשיית הצוואה".</w:t>
      </w:r>
    </w:p>
    <w:p w:rsidR="00FA7A9E" w:rsidRPr="00F43E4A" w:rsidRDefault="00FA7A9E" w:rsidP="00FA7A9E">
      <w:pPr>
        <w:pStyle w:val="1"/>
        <w:spacing w:after="0" w:line="360" w:lineRule="auto"/>
        <w:ind w:left="1211"/>
        <w:jc w:val="both"/>
        <w:rPr>
          <w:rFonts w:ascii="David" w:hAnsi="David" w:cs="David"/>
          <w:sz w:val="24"/>
          <w:szCs w:val="24"/>
          <w:rtl/>
        </w:rPr>
      </w:pPr>
    </w:p>
    <w:p w:rsidR="00E61418" w:rsidRPr="00E61418" w:rsidRDefault="00FA7A9E" w:rsidP="00123CC7">
      <w:pPr>
        <w:pStyle w:val="1"/>
        <w:spacing w:after="0" w:line="360" w:lineRule="auto"/>
        <w:ind w:left="283"/>
        <w:jc w:val="both"/>
        <w:rPr>
          <w:rFonts w:ascii="David" w:hAnsi="David" w:cs="David"/>
          <w:sz w:val="24"/>
          <w:szCs w:val="24"/>
        </w:rPr>
      </w:pPr>
      <w:r w:rsidRPr="00F43E4A">
        <w:rPr>
          <w:rFonts w:ascii="David" w:hAnsi="David" w:cs="David"/>
          <w:sz w:val="24"/>
          <w:szCs w:val="24"/>
          <w:rtl/>
        </w:rPr>
        <w:t>כב' השופטת (</w:t>
      </w:r>
      <w:r w:rsidRPr="00E61418">
        <w:rPr>
          <w:rFonts w:ascii="David" w:hAnsi="David" w:cs="David"/>
          <w:sz w:val="24"/>
          <w:szCs w:val="24"/>
          <w:rtl/>
        </w:rPr>
        <w:t>כתוארה דאז) מרים נאור</w:t>
      </w:r>
      <w:r w:rsidR="00E61418" w:rsidRPr="00E61418">
        <w:rPr>
          <w:rFonts w:ascii="David" w:hAnsi="David" w:cs="David"/>
          <w:sz w:val="24"/>
          <w:szCs w:val="24"/>
          <w:rtl/>
        </w:rPr>
        <w:t xml:space="preserve"> </w:t>
      </w:r>
      <w:r w:rsidRPr="00E61418">
        <w:rPr>
          <w:rFonts w:ascii="David" w:hAnsi="David" w:cs="David"/>
          <w:sz w:val="24"/>
          <w:szCs w:val="24"/>
          <w:rtl/>
        </w:rPr>
        <w:t xml:space="preserve"> עמד</w:t>
      </w:r>
      <w:r w:rsidR="00E61418" w:rsidRPr="00E61418">
        <w:rPr>
          <w:rFonts w:ascii="David" w:hAnsi="David" w:cs="David"/>
          <w:sz w:val="24"/>
          <w:szCs w:val="24"/>
          <w:rtl/>
        </w:rPr>
        <w:t xml:space="preserve">ה על השוני בין ההסדרים האמורים במסגרת </w:t>
      </w:r>
    </w:p>
    <w:p w:rsidR="00FA7A9E" w:rsidRPr="00E61418" w:rsidRDefault="0048558D" w:rsidP="00E61418">
      <w:pPr>
        <w:pStyle w:val="1"/>
        <w:spacing w:after="0" w:line="360" w:lineRule="auto"/>
        <w:ind w:left="283"/>
        <w:jc w:val="both"/>
        <w:rPr>
          <w:rFonts w:ascii="David" w:hAnsi="David" w:cs="David"/>
          <w:sz w:val="24"/>
          <w:szCs w:val="24"/>
          <w:rtl/>
        </w:rPr>
      </w:pPr>
      <w:hyperlink r:id="rId28" w:history="1">
        <w:r w:rsidR="00FA7A9E" w:rsidRPr="00E61418">
          <w:rPr>
            <w:rFonts w:ascii="David" w:hAnsi="David" w:cs="David"/>
            <w:sz w:val="24"/>
            <w:szCs w:val="24"/>
            <w:u w:val="single"/>
            <w:rtl/>
          </w:rPr>
          <w:t>בע"מ 10807-03</w:t>
        </w:r>
      </w:hyperlink>
      <w:r w:rsidR="00FA7A9E" w:rsidRPr="00E61418">
        <w:rPr>
          <w:rFonts w:ascii="David" w:hAnsi="David" w:cs="David"/>
          <w:sz w:val="24"/>
          <w:szCs w:val="24"/>
          <w:rtl/>
        </w:rPr>
        <w:t xml:space="preserve"> </w:t>
      </w:r>
      <w:r w:rsidR="00FA7A9E" w:rsidRPr="00E61418">
        <w:rPr>
          <w:rFonts w:ascii="David" w:hAnsi="David" w:cs="David"/>
          <w:b/>
          <w:bCs/>
          <w:sz w:val="24"/>
          <w:szCs w:val="24"/>
          <w:rtl/>
        </w:rPr>
        <w:t>זמיר נ' גמליאל</w:t>
      </w:r>
      <w:r w:rsidR="00FA7A9E" w:rsidRPr="00E61418">
        <w:rPr>
          <w:rFonts w:ascii="David" w:hAnsi="David" w:cs="David"/>
          <w:sz w:val="24"/>
          <w:szCs w:val="24"/>
          <w:rtl/>
        </w:rPr>
        <w:t xml:space="preserve">, </w:t>
      </w:r>
      <w:r w:rsidR="00E61418" w:rsidRPr="00E61418">
        <w:rPr>
          <w:rFonts w:ascii="David" w:hAnsi="David" w:cs="David"/>
          <w:sz w:val="24"/>
          <w:szCs w:val="24"/>
          <w:rtl/>
        </w:rPr>
        <w:t xml:space="preserve">[פורסם בנבו] (04.02.07) , </w:t>
      </w:r>
      <w:r w:rsidR="00FA7A9E" w:rsidRPr="00E61418">
        <w:rPr>
          <w:rFonts w:ascii="David" w:hAnsi="David" w:cs="David"/>
          <w:sz w:val="24"/>
          <w:szCs w:val="24"/>
          <w:rtl/>
        </w:rPr>
        <w:t>באומרה את הדברים הבאים:</w:t>
      </w:r>
    </w:p>
    <w:p w:rsidR="00FA7A9E" w:rsidRPr="00F43E4A" w:rsidRDefault="00FA7A9E" w:rsidP="00D50040">
      <w:pPr>
        <w:pStyle w:val="1"/>
        <w:spacing w:after="0" w:line="360" w:lineRule="auto"/>
        <w:ind w:left="283"/>
        <w:jc w:val="both"/>
        <w:rPr>
          <w:rFonts w:ascii="David" w:hAnsi="David" w:cs="David"/>
          <w:b/>
          <w:bCs/>
          <w:sz w:val="24"/>
          <w:szCs w:val="24"/>
        </w:rPr>
      </w:pPr>
      <w:r w:rsidRPr="00E61418">
        <w:rPr>
          <w:rFonts w:ascii="David" w:hAnsi="David" w:cs="David"/>
          <w:b/>
          <w:bCs/>
          <w:sz w:val="24"/>
          <w:szCs w:val="24"/>
          <w:rtl/>
        </w:rPr>
        <w:t xml:space="preserve">"עיון בשני ההסדרים מראה כי ההבדל ביניהם הוא גדול. בהסדר של "יורש אחר יורש", הקבוע בסעיף 42 לחוק, המוריש מורה כי במותו, יירש אותו יורש א'; וכן מורה המוריש כי לאחר מותו של יורש א', יירש את העזבון יורש ב'. עד להגעת הרכוש ליורש ב', ישנה, בלשונו של הנשיא ברק בעניין מלמד </w:t>
      </w:r>
      <w:r w:rsidR="00D50040">
        <w:rPr>
          <w:rFonts w:ascii="David" w:hAnsi="David" w:cs="David" w:hint="cs"/>
          <w:b/>
          <w:bCs/>
          <w:sz w:val="24"/>
          <w:szCs w:val="24"/>
          <w:rtl/>
        </w:rPr>
        <w:t>..</w:t>
      </w:r>
      <w:r w:rsidRPr="00E61418">
        <w:rPr>
          <w:rFonts w:ascii="David" w:hAnsi="David" w:cs="David"/>
          <w:b/>
          <w:bCs/>
          <w:sz w:val="24"/>
          <w:szCs w:val="24"/>
          <w:rtl/>
        </w:rPr>
        <w:t xml:space="preserve"> "תקופת ביניים", בה יורש א' הוא הבעלים של הרכוש. יורש א', בתקופה זו, רשאי "לעשות במה</w:t>
      </w:r>
      <w:r w:rsidRPr="00F43E4A">
        <w:rPr>
          <w:rFonts w:ascii="David" w:hAnsi="David" w:cs="David"/>
          <w:b/>
          <w:bCs/>
          <w:sz w:val="24"/>
          <w:szCs w:val="24"/>
          <w:rtl/>
        </w:rPr>
        <w:t xml:space="preserve"> שקיבל כבתוך שלו" (סעיף 42(ב)). יורש ב' יירש רק "מה ששייר" יורש א' (שם). ואולם, על יורש א' מוטלת מגבלה: הוא רשאי, אמנם, לנהוג ברכוש כמנהג בעלים, אך לא רשאי הוא לגרוע מחלקו של יורש ב' על ידי צוואה משלו (שם). אילו בענייננו היה ההסדר הקבוע בצוואת אם המבקשים הסדר של "יורש אחר יורש", הרי שהמנוח יכול היה, אמנם, להעביר את הרכוש שירש מאשתו הראשונה לאחר במהלך חייו, אך לא יכל הוא לפגוע ביתרת </w:t>
      </w:r>
      <w:r w:rsidRPr="00F43E4A">
        <w:rPr>
          <w:rFonts w:ascii="David" w:hAnsi="David" w:cs="David"/>
          <w:b/>
          <w:bCs/>
          <w:sz w:val="24"/>
          <w:szCs w:val="24"/>
          <w:rtl/>
        </w:rPr>
        <w:lastRenderedPageBreak/>
        <w:t>רכוש זה על ידי שינוי הצוואה (ראו א' בלכר-פריגת "'עד שהמוות יפריד בינינו?' על דוקטרינת הצוואות ההדדיות במשפט הישראלי" ספר שאוה (א' ברק וד' פרידמן עורכים, תשס"ו) 497).</w:t>
      </w:r>
    </w:p>
    <w:p w:rsidR="00FA7A9E" w:rsidRPr="00F43E4A" w:rsidRDefault="00FA7A9E" w:rsidP="00FA7A9E">
      <w:pPr>
        <w:pStyle w:val="1"/>
        <w:spacing w:after="0" w:line="360" w:lineRule="auto"/>
        <w:ind w:left="283"/>
        <w:jc w:val="both"/>
        <w:rPr>
          <w:rFonts w:ascii="David" w:hAnsi="David" w:cs="David"/>
          <w:b/>
          <w:bCs/>
          <w:sz w:val="24"/>
          <w:szCs w:val="24"/>
          <w:rtl/>
        </w:rPr>
      </w:pPr>
      <w:r w:rsidRPr="00F43E4A">
        <w:rPr>
          <w:rFonts w:ascii="David" w:hAnsi="David" w:cs="David"/>
          <w:b/>
          <w:bCs/>
          <w:sz w:val="24"/>
          <w:szCs w:val="24"/>
          <w:rtl/>
        </w:rPr>
        <w:t>שונה ההסדר של "יורש במקום יורש", הקבוע בסעיף 41 לחוק. לפיו, המוריש מורה כי רכושו יעבור ליורש א', אך אילו יורש א' לא יירש את המוריש, מהסיבות המנויות בחוק, יבוא בנעליו יורש ב'. ייעודו של הסדר זה הוא להסדיר מקרה בו המוריש צופה כאפשרות מצב בו מי שקבע כיורשו, לא יוכל לרשת אותו. המוריש קובע חליפין ליורש הראשון אותו קבע. אין בהסדר זה "תקופת ביניים" כמו בהסדר הקודם. היה ויורש א' ירש את הרכוש, הרי שההסדר מוצה, ותם ונשלם. יורש א' יכול להעביר את הרכוש הלאה בחייו, ולהוריש אותו - בין בצוואה, בין על פי דין - למי שיחפוץ (לפירוט בענין ההסדרים השונים, ראו עניין מלמד (בע</w:t>
      </w:r>
      <w:r w:rsidR="003D56E1" w:rsidRPr="00F43E4A">
        <w:rPr>
          <w:rFonts w:ascii="David" w:hAnsi="David" w:cs="David"/>
          <w:b/>
          <w:bCs/>
          <w:sz w:val="24"/>
          <w:szCs w:val="24"/>
          <w:rtl/>
        </w:rPr>
        <w:t>מ</w:t>
      </w:r>
      <w:r w:rsidRPr="00F43E4A">
        <w:rPr>
          <w:rFonts w:ascii="David" w:hAnsi="David" w:cs="David"/>
          <w:b/>
          <w:bCs/>
          <w:sz w:val="24"/>
          <w:szCs w:val="24"/>
          <w:rtl/>
        </w:rPr>
        <w:t xml:space="preserve">' 711-712); וכן ש' שילה </w:t>
      </w:r>
      <w:hyperlink r:id="rId29" w:history="1">
        <w:r w:rsidRPr="00F43E4A">
          <w:rPr>
            <w:rFonts w:ascii="David" w:hAnsi="David" w:cs="David"/>
            <w:b/>
            <w:bCs/>
            <w:sz w:val="24"/>
            <w:szCs w:val="24"/>
            <w:u w:val="single"/>
            <w:rtl/>
          </w:rPr>
          <w:t>פירוש לחוק הירושה, תשכ"ה-1965</w:t>
        </w:r>
      </w:hyperlink>
      <w:r w:rsidRPr="00F43E4A">
        <w:rPr>
          <w:rFonts w:ascii="David" w:hAnsi="David" w:cs="David"/>
          <w:b/>
          <w:bCs/>
          <w:sz w:val="24"/>
          <w:szCs w:val="24"/>
          <w:rtl/>
        </w:rPr>
        <w:t xml:space="preserve"> (התשנ"ב) 365 ואילך; ש' שוחט, מנחם גולדברג ו-י' פלומין </w:t>
      </w:r>
      <w:hyperlink r:id="rId30" w:history="1">
        <w:r w:rsidRPr="00F43E4A">
          <w:rPr>
            <w:rFonts w:ascii="David" w:hAnsi="David" w:cs="David"/>
            <w:b/>
            <w:bCs/>
            <w:sz w:val="24"/>
            <w:szCs w:val="24"/>
            <w:rtl/>
          </w:rPr>
          <w:t>דיני ירושה ועיזבון</w:t>
        </w:r>
      </w:hyperlink>
      <w:r w:rsidRPr="00F43E4A">
        <w:rPr>
          <w:rFonts w:ascii="David" w:hAnsi="David" w:cs="David"/>
          <w:b/>
          <w:bCs/>
          <w:sz w:val="24"/>
          <w:szCs w:val="24"/>
          <w:rtl/>
        </w:rPr>
        <w:t xml:space="preserve"> (תשס"ה) 118)".</w:t>
      </w:r>
    </w:p>
    <w:p w:rsidR="00FA7A9E" w:rsidRPr="00F43E4A" w:rsidRDefault="00FA7A9E" w:rsidP="00FA7A9E">
      <w:pPr>
        <w:pStyle w:val="1"/>
        <w:spacing w:after="0" w:line="360" w:lineRule="auto"/>
        <w:ind w:left="1211"/>
        <w:jc w:val="both"/>
        <w:rPr>
          <w:rFonts w:ascii="David" w:hAnsi="David" w:cs="David"/>
          <w:sz w:val="24"/>
          <w:szCs w:val="24"/>
          <w:rtl/>
        </w:rPr>
      </w:pPr>
    </w:p>
    <w:p w:rsidR="008830B9" w:rsidRDefault="008830B9" w:rsidP="00C85D70">
      <w:pPr>
        <w:pStyle w:val="1"/>
        <w:numPr>
          <w:ilvl w:val="0"/>
          <w:numId w:val="3"/>
        </w:numPr>
        <w:spacing w:after="0" w:line="360" w:lineRule="auto"/>
        <w:ind w:left="283"/>
        <w:jc w:val="both"/>
        <w:rPr>
          <w:rFonts w:ascii="David" w:hAnsi="David" w:cs="David"/>
          <w:sz w:val="24"/>
          <w:szCs w:val="24"/>
        </w:rPr>
      </w:pPr>
      <w:r>
        <w:rPr>
          <w:rFonts w:ascii="David" w:hAnsi="David" w:cs="David"/>
          <w:sz w:val="24"/>
          <w:szCs w:val="24"/>
          <w:rtl/>
        </w:rPr>
        <w:t>בענייננו</w:t>
      </w:r>
      <w:r>
        <w:rPr>
          <w:rFonts w:ascii="David" w:hAnsi="David" w:cs="David" w:hint="cs"/>
          <w:sz w:val="24"/>
          <w:szCs w:val="24"/>
          <w:rtl/>
        </w:rPr>
        <w:t>, קובע סעיף 3 לצוואת</w:t>
      </w:r>
      <w:r w:rsidR="00C85D70">
        <w:rPr>
          <w:rFonts w:ascii="David" w:hAnsi="David" w:cs="David" w:hint="cs"/>
          <w:sz w:val="24"/>
          <w:szCs w:val="24"/>
          <w:rtl/>
        </w:rPr>
        <w:t xml:space="preserve"> המנוחה  </w:t>
      </w:r>
      <w:r>
        <w:rPr>
          <w:rFonts w:ascii="David" w:hAnsi="David" w:cs="David" w:hint="cs"/>
          <w:sz w:val="24"/>
          <w:szCs w:val="24"/>
          <w:rtl/>
        </w:rPr>
        <w:t>משנת 2009 כדלקמן:</w:t>
      </w:r>
    </w:p>
    <w:p w:rsidR="008830B9" w:rsidRDefault="008830B9" w:rsidP="008830B9">
      <w:pPr>
        <w:spacing w:line="360" w:lineRule="auto"/>
        <w:ind w:left="283"/>
        <w:jc w:val="both"/>
        <w:rPr>
          <w:rFonts w:ascii="David" w:hAnsi="David"/>
          <w:rtl/>
        </w:rPr>
      </w:pPr>
      <w:r w:rsidRPr="008830B9">
        <w:rPr>
          <w:rFonts w:ascii="David" w:hAnsi="David"/>
          <w:b/>
          <w:bCs/>
          <w:rtl/>
        </w:rPr>
        <w:t xml:space="preserve">" באם ברגע פטירתי, לא יהיה בעלי הנ"ל בין החיים, הנני מצווה ומורישה את כל רכושי וזכויותיי בשלמות ובחלקים שווים ל- 4 נכדיי:..". </w:t>
      </w:r>
    </w:p>
    <w:p w:rsidR="00C72D22" w:rsidRDefault="00C72D22" w:rsidP="008830B9">
      <w:pPr>
        <w:spacing w:line="360" w:lineRule="auto"/>
        <w:ind w:left="283"/>
        <w:jc w:val="both"/>
        <w:rPr>
          <w:rFonts w:ascii="David" w:hAnsi="David"/>
          <w:rtl/>
        </w:rPr>
      </w:pPr>
      <w:r>
        <w:rPr>
          <w:rFonts w:ascii="David" w:hAnsi="David" w:hint="cs"/>
          <w:rtl/>
        </w:rPr>
        <w:t>כך קבע גם המנוח בצוואתו משנת 2009, אשר קויימה כאמור ביום 27.10.2013.</w:t>
      </w:r>
    </w:p>
    <w:p w:rsidR="00C72D22" w:rsidRPr="008830B9" w:rsidRDefault="00C72D22" w:rsidP="008830B9">
      <w:pPr>
        <w:spacing w:line="360" w:lineRule="auto"/>
        <w:ind w:left="283"/>
        <w:jc w:val="both"/>
        <w:rPr>
          <w:rFonts w:ascii="David" w:hAnsi="David"/>
        </w:rPr>
      </w:pPr>
    </w:p>
    <w:p w:rsidR="008830B9" w:rsidRDefault="008830B9" w:rsidP="00B56CFA">
      <w:pPr>
        <w:pStyle w:val="1"/>
        <w:spacing w:after="0" w:line="360" w:lineRule="auto"/>
        <w:ind w:left="283"/>
        <w:jc w:val="both"/>
        <w:rPr>
          <w:rFonts w:ascii="David" w:hAnsi="David" w:cs="David"/>
          <w:sz w:val="24"/>
          <w:szCs w:val="24"/>
          <w:rtl/>
        </w:rPr>
      </w:pPr>
      <w:r w:rsidRPr="003B696A">
        <w:rPr>
          <w:rFonts w:ascii="David" w:hAnsi="David" w:cs="David"/>
          <w:sz w:val="24"/>
          <w:szCs w:val="24"/>
          <w:rtl/>
        </w:rPr>
        <w:t xml:space="preserve">אין חולק כי בצוואת 2009 </w:t>
      </w:r>
      <w:r>
        <w:rPr>
          <w:rFonts w:ascii="David" w:hAnsi="David" w:cs="David" w:hint="cs"/>
          <w:sz w:val="24"/>
          <w:szCs w:val="24"/>
          <w:rtl/>
        </w:rPr>
        <w:t xml:space="preserve">, ציוותה </w:t>
      </w:r>
      <w:r w:rsidRPr="003B696A">
        <w:rPr>
          <w:rFonts w:ascii="David" w:hAnsi="David" w:cs="David"/>
          <w:sz w:val="24"/>
          <w:szCs w:val="24"/>
          <w:rtl/>
        </w:rPr>
        <w:t xml:space="preserve">המנוחה </w:t>
      </w:r>
      <w:r>
        <w:rPr>
          <w:rFonts w:ascii="David" w:hAnsi="David" w:cs="David" w:hint="cs"/>
          <w:sz w:val="24"/>
          <w:szCs w:val="24"/>
          <w:rtl/>
        </w:rPr>
        <w:t xml:space="preserve">את מלוא עיזבונה </w:t>
      </w:r>
      <w:r w:rsidRPr="003B696A">
        <w:rPr>
          <w:rFonts w:ascii="David" w:hAnsi="David" w:cs="David"/>
          <w:sz w:val="24"/>
          <w:szCs w:val="24"/>
          <w:rtl/>
        </w:rPr>
        <w:t>לבעלה</w:t>
      </w:r>
      <w:r>
        <w:rPr>
          <w:rFonts w:ascii="David" w:hAnsi="David" w:cs="David" w:hint="cs"/>
          <w:sz w:val="24"/>
          <w:szCs w:val="24"/>
          <w:rtl/>
        </w:rPr>
        <w:t xml:space="preserve"> המנוח</w:t>
      </w:r>
      <w:r w:rsidRPr="003B696A">
        <w:rPr>
          <w:rFonts w:ascii="David" w:hAnsi="David" w:cs="David"/>
          <w:sz w:val="24"/>
          <w:szCs w:val="24"/>
          <w:rtl/>
        </w:rPr>
        <w:t xml:space="preserve"> (</w:t>
      </w:r>
      <w:r>
        <w:rPr>
          <w:rFonts w:ascii="David" w:hAnsi="David" w:cs="David" w:hint="cs"/>
          <w:sz w:val="24"/>
          <w:szCs w:val="24"/>
          <w:rtl/>
        </w:rPr>
        <w:t xml:space="preserve">הוא </w:t>
      </w:r>
      <w:r w:rsidRPr="003B696A">
        <w:rPr>
          <w:rFonts w:ascii="David" w:hAnsi="David" w:cs="David"/>
          <w:sz w:val="24"/>
          <w:szCs w:val="24"/>
          <w:rtl/>
        </w:rPr>
        <w:t>יורש</w:t>
      </w:r>
      <w:r>
        <w:rPr>
          <w:rFonts w:ascii="David" w:hAnsi="David" w:cs="David" w:hint="cs"/>
          <w:sz w:val="24"/>
          <w:szCs w:val="24"/>
          <w:rtl/>
        </w:rPr>
        <w:t xml:space="preserve"> א'</w:t>
      </w:r>
      <w:r w:rsidRPr="003B696A">
        <w:rPr>
          <w:rFonts w:ascii="David" w:hAnsi="David" w:cs="David"/>
          <w:sz w:val="24"/>
          <w:szCs w:val="24"/>
          <w:rtl/>
        </w:rPr>
        <w:t>)</w:t>
      </w:r>
      <w:r w:rsidR="00C72D22">
        <w:rPr>
          <w:rFonts w:ascii="David" w:hAnsi="David" w:cs="David" w:hint="cs"/>
          <w:sz w:val="24"/>
          <w:szCs w:val="24"/>
          <w:rtl/>
        </w:rPr>
        <w:t xml:space="preserve"> ובצוואת המנוח, ציווה</w:t>
      </w:r>
      <w:r w:rsidR="00B56CFA">
        <w:rPr>
          <w:rFonts w:ascii="David" w:hAnsi="David" w:cs="David" w:hint="cs"/>
          <w:sz w:val="24"/>
          <w:szCs w:val="24"/>
          <w:rtl/>
        </w:rPr>
        <w:t xml:space="preserve"> הוא </w:t>
      </w:r>
      <w:r w:rsidR="00C72D22">
        <w:rPr>
          <w:rFonts w:ascii="David" w:hAnsi="David" w:cs="David" w:hint="cs"/>
          <w:sz w:val="24"/>
          <w:szCs w:val="24"/>
          <w:rtl/>
        </w:rPr>
        <w:t>את מלוא עיזבונו לרעייתו המנוחה (היא יורשת א').</w:t>
      </w:r>
    </w:p>
    <w:p w:rsidR="00C72D22" w:rsidRPr="00B56CFA" w:rsidRDefault="00C72D22" w:rsidP="00C72D22">
      <w:pPr>
        <w:pStyle w:val="1"/>
        <w:spacing w:after="0" w:line="360" w:lineRule="auto"/>
        <w:ind w:left="283"/>
        <w:jc w:val="both"/>
        <w:rPr>
          <w:rFonts w:ascii="David" w:hAnsi="David" w:cs="David"/>
          <w:sz w:val="24"/>
          <w:szCs w:val="24"/>
          <w:rtl/>
        </w:rPr>
      </w:pPr>
      <w:r w:rsidRPr="00C72D22">
        <w:rPr>
          <w:rFonts w:ascii="David" w:hAnsi="David" w:cs="David" w:hint="cs"/>
          <w:sz w:val="24"/>
          <w:szCs w:val="24"/>
          <w:rtl/>
        </w:rPr>
        <w:t xml:space="preserve">המנוחים </w:t>
      </w:r>
      <w:r w:rsidRPr="00B56CFA">
        <w:rPr>
          <w:rFonts w:ascii="David" w:hAnsi="David" w:cs="David"/>
          <w:sz w:val="24"/>
          <w:szCs w:val="24"/>
          <w:rtl/>
        </w:rPr>
        <w:t xml:space="preserve">קבעו בסעיף 3 לצוואת כל אחד מהם, כי </w:t>
      </w:r>
      <w:r w:rsidR="008830B9" w:rsidRPr="00B56CFA">
        <w:rPr>
          <w:rFonts w:ascii="David" w:hAnsi="David" w:cs="David"/>
          <w:sz w:val="24"/>
          <w:szCs w:val="24"/>
          <w:rtl/>
        </w:rPr>
        <w:t>אילו יורש א' לא יירש את המוריש</w:t>
      </w:r>
      <w:r w:rsidRPr="00B56CFA">
        <w:rPr>
          <w:rFonts w:ascii="David" w:hAnsi="David" w:cs="David"/>
          <w:sz w:val="24"/>
          <w:szCs w:val="24"/>
          <w:rtl/>
        </w:rPr>
        <w:t>, יועבר העיזבון לארבעת הנכדים בחלקים שווים אשר יבואו בנעליו של יורש א'.</w:t>
      </w:r>
    </w:p>
    <w:p w:rsidR="00C72D22" w:rsidRPr="00B56CFA" w:rsidRDefault="00C72D22" w:rsidP="00C72D22">
      <w:pPr>
        <w:pStyle w:val="1"/>
        <w:spacing w:after="0" w:line="360" w:lineRule="auto"/>
        <w:ind w:left="283"/>
        <w:jc w:val="both"/>
        <w:rPr>
          <w:rFonts w:ascii="David" w:hAnsi="David" w:cs="David"/>
          <w:sz w:val="24"/>
          <w:szCs w:val="24"/>
          <w:rtl/>
        </w:rPr>
      </w:pPr>
    </w:p>
    <w:p w:rsidR="00B56CFA" w:rsidRDefault="00B56CFA" w:rsidP="00B56CFA">
      <w:pPr>
        <w:pStyle w:val="ad"/>
        <w:numPr>
          <w:ilvl w:val="0"/>
          <w:numId w:val="3"/>
        </w:numPr>
        <w:spacing w:line="360" w:lineRule="auto"/>
        <w:ind w:left="283" w:hanging="425"/>
        <w:jc w:val="both"/>
        <w:rPr>
          <w:rFonts w:ascii="David" w:hAnsi="David" w:cs="David"/>
          <w:sz w:val="24"/>
          <w:szCs w:val="24"/>
        </w:rPr>
      </w:pPr>
      <w:r>
        <w:rPr>
          <w:rFonts w:ascii="David" w:hAnsi="David" w:cs="David"/>
          <w:sz w:val="24"/>
          <w:szCs w:val="24"/>
          <w:rtl/>
        </w:rPr>
        <w:t xml:space="preserve">בעניין דנן, עיון בלשון </w:t>
      </w:r>
      <w:r w:rsidR="00481791" w:rsidRPr="00B56CFA">
        <w:rPr>
          <w:rFonts w:ascii="David" w:hAnsi="David" w:cs="David"/>
          <w:sz w:val="24"/>
          <w:szCs w:val="24"/>
          <w:rtl/>
        </w:rPr>
        <w:t>צווא</w:t>
      </w:r>
      <w:r>
        <w:rPr>
          <w:rFonts w:ascii="David" w:hAnsi="David" w:cs="David" w:hint="cs"/>
          <w:sz w:val="24"/>
          <w:szCs w:val="24"/>
          <w:rtl/>
        </w:rPr>
        <w:t>ת המנוח משנת 2009, כמו גם צוואת המנוחה משנת 2009 ,</w:t>
      </w:r>
      <w:r w:rsidR="00481791" w:rsidRPr="00B56CFA">
        <w:rPr>
          <w:rFonts w:ascii="David" w:hAnsi="David" w:cs="David"/>
          <w:sz w:val="24"/>
          <w:szCs w:val="24"/>
          <w:rtl/>
        </w:rPr>
        <w:t xml:space="preserve">מלמד ללא צל של ספק, כי עסקינן בציווי על דרך </w:t>
      </w:r>
      <w:r w:rsidR="00481791" w:rsidRPr="00B56CFA">
        <w:rPr>
          <w:rFonts w:ascii="David" w:hAnsi="David" w:cs="David"/>
          <w:b/>
          <w:bCs/>
          <w:sz w:val="24"/>
          <w:szCs w:val="24"/>
          <w:rtl/>
        </w:rPr>
        <w:t>"יורש במקום יורש"</w:t>
      </w:r>
      <w:r w:rsidR="00481791" w:rsidRPr="00B56CFA">
        <w:rPr>
          <w:rFonts w:ascii="David" w:hAnsi="David" w:cs="David"/>
          <w:sz w:val="24"/>
          <w:szCs w:val="24"/>
          <w:rtl/>
        </w:rPr>
        <w:t xml:space="preserve">, שכן כל אחד מהמנוחים ציווה את עזבונו לבן זוגו </w:t>
      </w:r>
      <w:r>
        <w:rPr>
          <w:rFonts w:ascii="David" w:hAnsi="David" w:cs="David" w:hint="cs"/>
          <w:sz w:val="24"/>
          <w:szCs w:val="24"/>
          <w:rtl/>
        </w:rPr>
        <w:t>(יורש א') ובאם ברגע פטירת כ"א מהמנוחים, לא יהיה בן זוגו בין החיים, הוריש וציווה את עזבונו לנכדים (יורש ב').</w:t>
      </w:r>
    </w:p>
    <w:p w:rsidR="00712552" w:rsidRPr="00133433" w:rsidRDefault="00481791" w:rsidP="00712552">
      <w:pPr>
        <w:spacing w:line="360" w:lineRule="auto"/>
        <w:ind w:left="283"/>
        <w:jc w:val="both"/>
        <w:rPr>
          <w:rFonts w:ascii="David" w:hAnsi="David"/>
          <w:rtl/>
        </w:rPr>
      </w:pPr>
      <w:r w:rsidRPr="00B56CFA">
        <w:rPr>
          <w:rFonts w:ascii="David" w:hAnsi="David"/>
          <w:rtl/>
        </w:rPr>
        <w:t xml:space="preserve">ודוק, </w:t>
      </w:r>
      <w:r w:rsidRPr="00133433">
        <w:rPr>
          <w:rFonts w:ascii="David" w:hAnsi="David"/>
          <w:rtl/>
        </w:rPr>
        <w:t>בעניין דנן ניתן ללמוד על דרך הציווי מתוך עיון פשוט בלשון הצוואה ולפיכך לא נדרשים התובע</w:t>
      </w:r>
      <w:r w:rsidR="00712552" w:rsidRPr="00133433">
        <w:rPr>
          <w:rFonts w:ascii="David" w:hAnsi="David"/>
          <w:rtl/>
        </w:rPr>
        <w:t xml:space="preserve">ת ו/או המתנגדות </w:t>
      </w:r>
      <w:r w:rsidRPr="00133433">
        <w:rPr>
          <w:rFonts w:ascii="David" w:hAnsi="David"/>
          <w:rtl/>
        </w:rPr>
        <w:t xml:space="preserve">להוסיף ולהביא ראיות חיצוניות לכוונת המצווה. </w:t>
      </w:r>
    </w:p>
    <w:p w:rsidR="002914D6" w:rsidRPr="00133433" w:rsidRDefault="00481791" w:rsidP="00712552">
      <w:pPr>
        <w:spacing w:line="360" w:lineRule="auto"/>
        <w:ind w:left="283"/>
        <w:jc w:val="both"/>
        <w:rPr>
          <w:rFonts w:ascii="David" w:hAnsi="David"/>
          <w:noProof w:val="0"/>
          <w:rtl/>
        </w:rPr>
      </w:pPr>
      <w:r w:rsidRPr="00133433">
        <w:rPr>
          <w:rFonts w:ascii="David" w:hAnsi="David"/>
          <w:rtl/>
        </w:rPr>
        <w:t xml:space="preserve">מקום בו הצוואה ברורה לחלוטין  וניתן ללמוד באופן החלטתי מלשונה מה היתה כוונת המוריש- אין צורך בראיות חיצוניות וראה פסק דינה של כב' הש' שפרה גליק  בעניין </w:t>
      </w:r>
      <w:r w:rsidRPr="00133433">
        <w:rPr>
          <w:rFonts w:ascii="David" w:hAnsi="David"/>
          <w:u w:val="single"/>
          <w:rtl/>
        </w:rPr>
        <w:t>ת"ע 101611/08</w:t>
      </w:r>
      <w:r w:rsidRPr="00133433">
        <w:rPr>
          <w:rFonts w:ascii="David" w:hAnsi="David"/>
          <w:rtl/>
        </w:rPr>
        <w:t xml:space="preserve"> </w:t>
      </w:r>
      <w:r w:rsidRPr="00133433">
        <w:rPr>
          <w:rFonts w:ascii="David" w:hAnsi="David"/>
          <w:b/>
          <w:bCs/>
          <w:rtl/>
        </w:rPr>
        <w:t>י.ר.מ נ' עמותת ד.ר</w:t>
      </w:r>
      <w:r w:rsidR="00712552" w:rsidRPr="00133433">
        <w:rPr>
          <w:rFonts w:ascii="David" w:hAnsi="David"/>
          <w:noProof w:val="0"/>
          <w:rtl/>
        </w:rPr>
        <w:t xml:space="preserve"> (פורסם בנבו) ( 06.08.2009).</w:t>
      </w:r>
    </w:p>
    <w:p w:rsidR="00712552" w:rsidRPr="00133433" w:rsidRDefault="00712552" w:rsidP="00712552">
      <w:pPr>
        <w:spacing w:line="360" w:lineRule="auto"/>
        <w:ind w:left="283"/>
        <w:jc w:val="both"/>
        <w:rPr>
          <w:rFonts w:ascii="David" w:hAnsi="David"/>
          <w:noProof w:val="0"/>
          <w:rtl/>
        </w:rPr>
      </w:pPr>
    </w:p>
    <w:p w:rsidR="00133433" w:rsidRPr="00133433" w:rsidRDefault="00A6441C" w:rsidP="00133433">
      <w:pPr>
        <w:pStyle w:val="ad"/>
        <w:numPr>
          <w:ilvl w:val="0"/>
          <w:numId w:val="3"/>
        </w:numPr>
        <w:spacing w:line="360" w:lineRule="auto"/>
        <w:ind w:left="283" w:hanging="425"/>
        <w:jc w:val="both"/>
        <w:rPr>
          <w:rFonts w:ascii="David" w:hAnsi="David" w:cs="David"/>
          <w:sz w:val="24"/>
          <w:szCs w:val="24"/>
        </w:rPr>
      </w:pPr>
      <w:r w:rsidRPr="00133433">
        <w:rPr>
          <w:rFonts w:ascii="David" w:hAnsi="David" w:cs="David"/>
          <w:sz w:val="24"/>
          <w:szCs w:val="24"/>
          <w:rtl/>
        </w:rPr>
        <w:t>נוכח האמור לעיל, הרי שהמנוח בצוואת 2009 קבע</w:t>
      </w:r>
      <w:r w:rsidR="00133433" w:rsidRPr="00133433">
        <w:rPr>
          <w:rFonts w:ascii="David" w:hAnsi="David" w:cs="David"/>
          <w:sz w:val="24"/>
          <w:szCs w:val="24"/>
          <w:rtl/>
        </w:rPr>
        <w:t xml:space="preserve"> כי הוא מצווה ומוריש את כל רכושו למנו</w:t>
      </w:r>
      <w:r w:rsidR="00133433">
        <w:rPr>
          <w:rFonts w:ascii="David" w:hAnsi="David" w:cs="David" w:hint="cs"/>
          <w:sz w:val="24"/>
          <w:szCs w:val="24"/>
          <w:rtl/>
        </w:rPr>
        <w:t>ח</w:t>
      </w:r>
      <w:r w:rsidR="00133433" w:rsidRPr="00133433">
        <w:rPr>
          <w:rFonts w:ascii="David" w:hAnsi="David" w:cs="David"/>
          <w:sz w:val="24"/>
          <w:szCs w:val="24"/>
          <w:rtl/>
        </w:rPr>
        <w:t xml:space="preserve">ה, ובהסדר של יורש </w:t>
      </w:r>
      <w:r w:rsidR="00133433" w:rsidRPr="00133433">
        <w:rPr>
          <w:rFonts w:ascii="David" w:hAnsi="David" w:cs="David"/>
          <w:sz w:val="24"/>
          <w:szCs w:val="24"/>
          <w:u w:val="single"/>
          <w:rtl/>
        </w:rPr>
        <w:t>במקום</w:t>
      </w:r>
      <w:r w:rsidR="00133433" w:rsidRPr="00133433">
        <w:rPr>
          <w:rFonts w:ascii="David" w:hAnsi="David" w:cs="David"/>
          <w:sz w:val="24"/>
          <w:szCs w:val="24"/>
          <w:rtl/>
        </w:rPr>
        <w:t xml:space="preserve"> יורש; </w:t>
      </w:r>
      <w:r w:rsidR="00133433" w:rsidRPr="00133433">
        <w:rPr>
          <w:rFonts w:ascii="David" w:hAnsi="David" w:cs="David"/>
          <w:b/>
          <w:bCs/>
          <w:sz w:val="24"/>
          <w:szCs w:val="24"/>
          <w:rtl/>
        </w:rPr>
        <w:t>קרי</w:t>
      </w:r>
      <w:r w:rsidR="00133433" w:rsidRPr="00133433">
        <w:rPr>
          <w:rFonts w:ascii="David" w:hAnsi="David" w:cs="David"/>
          <w:sz w:val="24"/>
          <w:szCs w:val="24"/>
          <w:rtl/>
        </w:rPr>
        <w:t xml:space="preserve"> </w:t>
      </w:r>
      <w:r w:rsidR="00133433">
        <w:rPr>
          <w:rFonts w:ascii="David" w:hAnsi="David" w:cs="David" w:hint="cs"/>
          <w:b/>
          <w:bCs/>
          <w:sz w:val="24"/>
          <w:szCs w:val="24"/>
          <w:rtl/>
        </w:rPr>
        <w:t xml:space="preserve">המנוחה היא </w:t>
      </w:r>
      <w:r w:rsidR="00133433" w:rsidRPr="00F43E4A">
        <w:rPr>
          <w:rFonts w:ascii="David" w:hAnsi="David" w:cs="David"/>
          <w:b/>
          <w:bCs/>
          <w:sz w:val="24"/>
          <w:szCs w:val="24"/>
          <w:rtl/>
        </w:rPr>
        <w:t xml:space="preserve">יורש א' </w:t>
      </w:r>
      <w:r w:rsidR="00133433">
        <w:rPr>
          <w:rFonts w:ascii="David" w:hAnsi="David" w:cs="David" w:hint="cs"/>
          <w:b/>
          <w:bCs/>
          <w:sz w:val="24"/>
          <w:szCs w:val="24"/>
          <w:rtl/>
        </w:rPr>
        <w:t>-</w:t>
      </w:r>
      <w:r w:rsidR="00133433" w:rsidRPr="00F43E4A">
        <w:rPr>
          <w:rFonts w:ascii="David" w:hAnsi="David" w:cs="David"/>
          <w:b/>
          <w:bCs/>
          <w:sz w:val="24"/>
          <w:szCs w:val="24"/>
          <w:rtl/>
        </w:rPr>
        <w:t>ירש</w:t>
      </w:r>
      <w:r w:rsidR="00133433">
        <w:rPr>
          <w:rFonts w:ascii="David" w:hAnsi="David" w:cs="David" w:hint="cs"/>
          <w:b/>
          <w:bCs/>
          <w:sz w:val="24"/>
          <w:szCs w:val="24"/>
          <w:rtl/>
        </w:rPr>
        <w:t>ה</w:t>
      </w:r>
      <w:r w:rsidR="00133433" w:rsidRPr="00F43E4A">
        <w:rPr>
          <w:rFonts w:ascii="David" w:hAnsi="David" w:cs="David"/>
          <w:b/>
          <w:bCs/>
          <w:sz w:val="24"/>
          <w:szCs w:val="24"/>
          <w:rtl/>
        </w:rPr>
        <w:t xml:space="preserve"> את </w:t>
      </w:r>
      <w:r w:rsidR="00133433">
        <w:rPr>
          <w:rFonts w:ascii="David" w:hAnsi="David" w:cs="David" w:hint="cs"/>
          <w:b/>
          <w:bCs/>
          <w:sz w:val="24"/>
          <w:szCs w:val="24"/>
          <w:rtl/>
        </w:rPr>
        <w:t xml:space="preserve">מלוא </w:t>
      </w:r>
      <w:r w:rsidR="00133433">
        <w:rPr>
          <w:rFonts w:ascii="David" w:hAnsi="David" w:cs="David"/>
          <w:b/>
          <w:bCs/>
          <w:sz w:val="24"/>
          <w:szCs w:val="24"/>
          <w:rtl/>
        </w:rPr>
        <w:t xml:space="preserve">הרכוש, </w:t>
      </w:r>
      <w:r w:rsidR="00133433" w:rsidRPr="00F43E4A">
        <w:rPr>
          <w:rFonts w:ascii="David" w:hAnsi="David" w:cs="David"/>
          <w:b/>
          <w:bCs/>
          <w:sz w:val="24"/>
          <w:szCs w:val="24"/>
          <w:rtl/>
        </w:rPr>
        <w:t xml:space="preserve">ההסדר מוצה, ותם ונשלם. </w:t>
      </w:r>
    </w:p>
    <w:p w:rsidR="00712552" w:rsidRDefault="00133433" w:rsidP="00133433">
      <w:pPr>
        <w:pStyle w:val="ad"/>
        <w:spacing w:line="360" w:lineRule="auto"/>
        <w:ind w:left="283"/>
        <w:jc w:val="both"/>
        <w:rPr>
          <w:rFonts w:ascii="David" w:hAnsi="David" w:cs="David"/>
          <w:sz w:val="24"/>
          <w:szCs w:val="24"/>
          <w:rtl/>
        </w:rPr>
      </w:pPr>
      <w:r w:rsidRPr="00F43E4A">
        <w:rPr>
          <w:rFonts w:ascii="David" w:hAnsi="David" w:cs="David"/>
          <w:b/>
          <w:bCs/>
          <w:sz w:val="24"/>
          <w:szCs w:val="24"/>
          <w:rtl/>
        </w:rPr>
        <w:lastRenderedPageBreak/>
        <w:t>יורש א' יכול להעביר את הרכוש הלאה בחייו, ולהוריש אותו - בין בצוואה, בין על פי דין - למי שיחפוץ</w:t>
      </w:r>
      <w:r>
        <w:rPr>
          <w:rFonts w:ascii="David" w:hAnsi="David" w:cs="David" w:hint="cs"/>
          <w:sz w:val="24"/>
          <w:szCs w:val="24"/>
          <w:rtl/>
        </w:rPr>
        <w:t>.</w:t>
      </w:r>
    </w:p>
    <w:p w:rsidR="00133433" w:rsidRDefault="00133433" w:rsidP="00133433">
      <w:pPr>
        <w:pStyle w:val="ad"/>
        <w:spacing w:line="360" w:lineRule="auto"/>
        <w:ind w:left="283"/>
        <w:jc w:val="both"/>
        <w:rPr>
          <w:rFonts w:ascii="David" w:hAnsi="David" w:cs="David"/>
          <w:sz w:val="24"/>
          <w:szCs w:val="24"/>
          <w:rtl/>
        </w:rPr>
      </w:pPr>
      <w:r>
        <w:rPr>
          <w:rFonts w:ascii="David" w:hAnsi="David" w:cs="David" w:hint="cs"/>
          <w:sz w:val="24"/>
          <w:szCs w:val="24"/>
          <w:rtl/>
        </w:rPr>
        <w:t>מן המקובץ, משעה שהמנוחה קיבלה את מלוא רכוש וזכויות המנוח אשר הלך לעולמו לפניה, ביום 03.07.13 וצוואתו קוימה כאמור, רשאית היתה המנוחה הן להעביר את הרכוש בחייה לכל דכפין והן רשאית היתה לערוך צוואה חדשה, וכך עשתה בשנת 2012.</w:t>
      </w:r>
    </w:p>
    <w:p w:rsidR="00133433" w:rsidRDefault="00133433" w:rsidP="00133433">
      <w:pPr>
        <w:pStyle w:val="ad"/>
        <w:spacing w:line="360" w:lineRule="auto"/>
        <w:ind w:left="283"/>
        <w:jc w:val="both"/>
        <w:rPr>
          <w:rFonts w:ascii="David" w:hAnsi="David" w:cs="David"/>
          <w:sz w:val="24"/>
          <w:szCs w:val="24"/>
          <w:rtl/>
        </w:rPr>
      </w:pPr>
    </w:p>
    <w:p w:rsidR="00133433" w:rsidRPr="0035557F" w:rsidRDefault="00133433" w:rsidP="00133433">
      <w:pPr>
        <w:pStyle w:val="ad"/>
        <w:spacing w:line="360" w:lineRule="auto"/>
        <w:ind w:left="283"/>
        <w:jc w:val="both"/>
        <w:rPr>
          <w:rFonts w:ascii="David" w:hAnsi="David" w:cs="David"/>
          <w:b/>
          <w:bCs/>
          <w:sz w:val="24"/>
          <w:szCs w:val="24"/>
          <w:u w:val="single"/>
          <w:rtl/>
        </w:rPr>
      </w:pPr>
      <w:r w:rsidRPr="0035557F">
        <w:rPr>
          <w:rFonts w:ascii="David" w:hAnsi="David" w:cs="David"/>
          <w:b/>
          <w:bCs/>
          <w:sz w:val="24"/>
          <w:szCs w:val="24"/>
          <w:u w:val="single"/>
          <w:rtl/>
        </w:rPr>
        <w:t>סוף דבר</w:t>
      </w:r>
    </w:p>
    <w:p w:rsidR="002914D6" w:rsidRDefault="0035557F" w:rsidP="00133433">
      <w:pPr>
        <w:pStyle w:val="ad"/>
        <w:numPr>
          <w:ilvl w:val="0"/>
          <w:numId w:val="3"/>
        </w:numPr>
        <w:spacing w:line="360" w:lineRule="auto"/>
        <w:ind w:left="283" w:hanging="425"/>
        <w:jc w:val="both"/>
        <w:rPr>
          <w:rFonts w:ascii="David" w:hAnsi="David" w:cs="David"/>
          <w:sz w:val="24"/>
          <w:szCs w:val="24"/>
        </w:rPr>
      </w:pPr>
      <w:r w:rsidRPr="0035557F">
        <w:rPr>
          <w:rFonts w:ascii="David" w:hAnsi="David" w:cs="David"/>
          <w:sz w:val="24"/>
          <w:szCs w:val="24"/>
          <w:rtl/>
        </w:rPr>
        <w:t>נוכח כל האמור לעיל, נחה דעתי לקבוע כי צוואת המנוחה משנת 2009, הינה צוואה אישית ולא צוואה הדדית.</w:t>
      </w:r>
    </w:p>
    <w:p w:rsidR="005425E6" w:rsidRPr="0035557F" w:rsidRDefault="005425E6" w:rsidP="005425E6">
      <w:pPr>
        <w:pStyle w:val="ad"/>
        <w:spacing w:line="360" w:lineRule="auto"/>
        <w:ind w:left="283"/>
        <w:jc w:val="both"/>
        <w:rPr>
          <w:rFonts w:ascii="David" w:hAnsi="David" w:cs="David"/>
          <w:sz w:val="24"/>
          <w:szCs w:val="24"/>
        </w:rPr>
      </w:pPr>
    </w:p>
    <w:p w:rsidR="0035557F" w:rsidRDefault="0035557F" w:rsidP="0035557F">
      <w:pPr>
        <w:pStyle w:val="ad"/>
        <w:numPr>
          <w:ilvl w:val="0"/>
          <w:numId w:val="3"/>
        </w:numPr>
        <w:spacing w:line="360" w:lineRule="auto"/>
        <w:ind w:left="283" w:hanging="425"/>
        <w:jc w:val="both"/>
        <w:rPr>
          <w:rFonts w:ascii="David" w:hAnsi="David" w:cs="David"/>
          <w:sz w:val="24"/>
          <w:szCs w:val="24"/>
        </w:rPr>
      </w:pPr>
      <w:r w:rsidRPr="0035557F">
        <w:rPr>
          <w:rFonts w:ascii="David" w:hAnsi="David" w:cs="David"/>
          <w:sz w:val="24"/>
          <w:szCs w:val="24"/>
          <w:rtl/>
        </w:rPr>
        <w:t>נוכח צו הקיום לצוואת המנוח משנת 2009 ובהינתן קביעתי דלעיל, הרי שהמנוחה קיבלה את עיזבון המנוח עפ"י צוואתו בהסדר של יורש במקום יורש וכאמור לעיל.</w:t>
      </w:r>
    </w:p>
    <w:p w:rsidR="005425E6" w:rsidRPr="005425E6" w:rsidRDefault="005425E6" w:rsidP="005425E6">
      <w:pPr>
        <w:pStyle w:val="ad"/>
        <w:rPr>
          <w:rFonts w:ascii="David" w:hAnsi="David" w:cs="David"/>
          <w:sz w:val="24"/>
          <w:szCs w:val="24"/>
          <w:rtl/>
        </w:rPr>
      </w:pPr>
    </w:p>
    <w:p w:rsidR="0035557F" w:rsidRDefault="0035557F" w:rsidP="0035557F">
      <w:pPr>
        <w:pStyle w:val="ad"/>
        <w:numPr>
          <w:ilvl w:val="0"/>
          <w:numId w:val="3"/>
        </w:numPr>
        <w:spacing w:line="360" w:lineRule="auto"/>
        <w:ind w:left="283" w:hanging="425"/>
        <w:jc w:val="both"/>
        <w:rPr>
          <w:rFonts w:ascii="David" w:hAnsi="David" w:cs="David"/>
          <w:sz w:val="24"/>
          <w:szCs w:val="24"/>
        </w:rPr>
      </w:pPr>
      <w:r w:rsidRPr="0035557F">
        <w:rPr>
          <w:rFonts w:ascii="David" w:hAnsi="David" w:cs="David"/>
          <w:sz w:val="24"/>
          <w:szCs w:val="24"/>
          <w:rtl/>
        </w:rPr>
        <w:t>נוכח כך, רשאית המנוחה היתה לערוך צוואה מאוחרת ולעשות בזכויות שירשה מהמנוח, ככל העולה על רוחה.</w:t>
      </w:r>
    </w:p>
    <w:p w:rsidR="005425E6" w:rsidRPr="005425E6" w:rsidRDefault="005425E6" w:rsidP="005425E6">
      <w:pPr>
        <w:pStyle w:val="ad"/>
        <w:rPr>
          <w:rFonts w:ascii="David" w:hAnsi="David" w:cs="David"/>
          <w:sz w:val="24"/>
          <w:szCs w:val="24"/>
          <w:rtl/>
        </w:rPr>
      </w:pPr>
    </w:p>
    <w:p w:rsidR="0035557F" w:rsidRDefault="0035557F" w:rsidP="0035557F">
      <w:pPr>
        <w:pStyle w:val="ad"/>
        <w:numPr>
          <w:ilvl w:val="0"/>
          <w:numId w:val="3"/>
        </w:numPr>
        <w:spacing w:line="360" w:lineRule="auto"/>
        <w:ind w:left="283" w:hanging="425"/>
        <w:jc w:val="both"/>
        <w:rPr>
          <w:rFonts w:ascii="David" w:hAnsi="David" w:cs="David"/>
          <w:sz w:val="24"/>
          <w:szCs w:val="24"/>
        </w:rPr>
      </w:pPr>
      <w:r w:rsidRPr="0035557F">
        <w:rPr>
          <w:rFonts w:ascii="David" w:hAnsi="David" w:cs="David"/>
          <w:sz w:val="24"/>
          <w:szCs w:val="24"/>
          <w:rtl/>
        </w:rPr>
        <w:t>אשר על כן, לא מצאתי כל פגם ו/או עילה לפסול או להגביל את צוואת המנוחה משנת 2012.</w:t>
      </w:r>
    </w:p>
    <w:p w:rsidR="005425E6" w:rsidRPr="005425E6" w:rsidRDefault="005425E6" w:rsidP="005425E6">
      <w:pPr>
        <w:pStyle w:val="ad"/>
        <w:rPr>
          <w:rFonts w:ascii="David" w:hAnsi="David" w:cs="David"/>
          <w:sz w:val="24"/>
          <w:szCs w:val="24"/>
          <w:rtl/>
        </w:rPr>
      </w:pPr>
    </w:p>
    <w:p w:rsidR="0035557F" w:rsidRDefault="0035557F" w:rsidP="0035557F">
      <w:pPr>
        <w:pStyle w:val="ad"/>
        <w:numPr>
          <w:ilvl w:val="0"/>
          <w:numId w:val="3"/>
        </w:numPr>
        <w:spacing w:line="360" w:lineRule="auto"/>
        <w:ind w:left="283" w:hanging="425"/>
        <w:jc w:val="both"/>
        <w:rPr>
          <w:rFonts w:ascii="David" w:hAnsi="David" w:cs="David"/>
          <w:sz w:val="24"/>
          <w:szCs w:val="24"/>
        </w:rPr>
      </w:pPr>
      <w:r w:rsidRPr="0035557F">
        <w:rPr>
          <w:rFonts w:ascii="David" w:hAnsi="David" w:cs="David"/>
          <w:sz w:val="24"/>
          <w:szCs w:val="24"/>
          <w:rtl/>
        </w:rPr>
        <w:t xml:space="preserve">מן </w:t>
      </w:r>
      <w:r w:rsidR="00FF4690">
        <w:rPr>
          <w:rFonts w:ascii="David" w:hAnsi="David" w:cs="David" w:hint="cs"/>
          <w:sz w:val="24"/>
          <w:szCs w:val="24"/>
          <w:rtl/>
        </w:rPr>
        <w:t>ה</w:t>
      </w:r>
      <w:r w:rsidRPr="0035557F">
        <w:rPr>
          <w:rFonts w:ascii="David" w:hAnsi="David" w:cs="David"/>
          <w:sz w:val="24"/>
          <w:szCs w:val="24"/>
          <w:rtl/>
        </w:rPr>
        <w:t>מקובץ, הריני מורה על מתן צו קיום לצוואת המנוחה מיום 10.05.2012.</w:t>
      </w:r>
    </w:p>
    <w:p w:rsidR="005425E6" w:rsidRPr="005425E6" w:rsidRDefault="005425E6" w:rsidP="005425E6">
      <w:pPr>
        <w:pStyle w:val="ad"/>
        <w:rPr>
          <w:rFonts w:ascii="David" w:hAnsi="David" w:cs="David"/>
          <w:sz w:val="24"/>
          <w:szCs w:val="24"/>
          <w:rtl/>
        </w:rPr>
      </w:pPr>
    </w:p>
    <w:p w:rsidR="0035557F" w:rsidRDefault="0035557F" w:rsidP="0035557F">
      <w:pPr>
        <w:pStyle w:val="ad"/>
        <w:numPr>
          <w:ilvl w:val="0"/>
          <w:numId w:val="3"/>
        </w:numPr>
        <w:spacing w:line="360" w:lineRule="auto"/>
        <w:ind w:left="283" w:hanging="425"/>
        <w:jc w:val="both"/>
        <w:rPr>
          <w:rFonts w:ascii="David" w:hAnsi="David" w:cs="David"/>
          <w:sz w:val="24"/>
          <w:szCs w:val="24"/>
        </w:rPr>
      </w:pPr>
      <w:r w:rsidRPr="0035557F">
        <w:rPr>
          <w:rFonts w:ascii="David" w:hAnsi="David" w:cs="David"/>
          <w:sz w:val="24"/>
          <w:szCs w:val="24"/>
          <w:rtl/>
        </w:rPr>
        <w:t>מחייבת המתנגדות בהוצאות התובעת על סך 20,000 ₪.</w:t>
      </w:r>
    </w:p>
    <w:p w:rsidR="005425E6" w:rsidRPr="005425E6" w:rsidRDefault="005425E6" w:rsidP="005425E6">
      <w:pPr>
        <w:pStyle w:val="ad"/>
        <w:rPr>
          <w:rFonts w:ascii="David" w:hAnsi="David" w:cs="David"/>
          <w:sz w:val="24"/>
          <w:szCs w:val="24"/>
          <w:rtl/>
        </w:rPr>
      </w:pPr>
    </w:p>
    <w:p w:rsidR="00910833" w:rsidRPr="005425E6" w:rsidRDefault="00910833" w:rsidP="005425E6">
      <w:pPr>
        <w:spacing w:line="360" w:lineRule="auto"/>
        <w:jc w:val="both"/>
        <w:rPr>
          <w:rFonts w:ascii="David" w:hAnsi="David"/>
          <w:rtl/>
        </w:rPr>
      </w:pPr>
      <w:r w:rsidRPr="005425E6">
        <w:rPr>
          <w:rFonts w:ascii="David" w:hAnsi="David" w:hint="cs"/>
          <w:rtl/>
        </w:rPr>
        <w:t>המזכירות תודיע ותסגור התיק.</w:t>
      </w:r>
    </w:p>
    <w:p w:rsidR="002914D6" w:rsidRPr="0035557F" w:rsidRDefault="002914D6">
      <w:pPr>
        <w:spacing w:line="360" w:lineRule="auto"/>
        <w:jc w:val="both"/>
        <w:rPr>
          <w:rFonts w:ascii="David" w:hAnsi="David"/>
          <w:noProof w:val="0"/>
          <w:rtl/>
        </w:rPr>
      </w:pPr>
    </w:p>
    <w:p w:rsidR="002914D6" w:rsidRDefault="00011212" w:rsidP="00105C0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hint="cs"/>
              <w:noProof w:val="0"/>
              <w:rtl/>
            </w:rPr>
            <w:t>ב'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20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48558D">
      <w:pPr>
        <w:spacing w:line="360" w:lineRule="auto"/>
        <w:ind w:left="3600" w:firstLine="720"/>
        <w:jc w:val="both"/>
      </w:pPr>
      <w:sdt>
        <w:sdtPr>
          <w:rPr>
            <w:rtl/>
          </w:rPr>
          <w:alias w:val="MergeField"/>
          <w:tag w:val="1237"/>
          <w:id w:val="449133433"/>
        </w:sdtPr>
        <w:sdtEndPr/>
        <w:sdtContent>
          <w:r w:rsidR="00937667">
            <w:drawing>
              <wp:inline distT="0" distB="0" distL="0" distR="0" wp14:editId="50D07946">
                <wp:extent cx="220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1" cstate="print">
                          <a:extLst/>
                        </a:blip>
                        <a:stretch>
                          <a:fillRect/>
                        </a:stretch>
                      </pic:blipFill>
                      <pic:spPr>
                        <a:xfrm>
                          <a:off x="0" y="0"/>
                          <a:ext cx="2209800" cy="10287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32"/>
      <w:footerReference w:type="default" r:id="rId33"/>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58D" w:rsidRDefault="0048558D">
      <w:r>
        <w:separator/>
      </w:r>
    </w:p>
  </w:endnote>
  <w:endnote w:type="continuationSeparator" w:id="0">
    <w:p w:rsidR="0048558D" w:rsidRDefault="0048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143C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143C8">
      <w:rPr>
        <w:rStyle w:val="ab"/>
        <w:rtl/>
      </w:rPr>
      <w:t>17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58D" w:rsidRDefault="0048558D">
      <w:r>
        <w:separator/>
      </w:r>
    </w:p>
  </w:footnote>
  <w:footnote w:type="continuationSeparator" w:id="0">
    <w:p w:rsidR="0048558D" w:rsidRDefault="0048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48558D" w:rsidP="000851E3">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25151-11-19</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ו</w:t>
              </w:r>
              <w:r w:rsidR="000851E3">
                <w:rPr>
                  <w:rFonts w:hint="cs"/>
                  <w:b/>
                  <w:bCs/>
                  <w:noProof w:val="0"/>
                  <w:sz w:val="26"/>
                  <w:szCs w:val="26"/>
                  <w:rtl/>
                </w:rPr>
                <w:t>.</w:t>
              </w:r>
              <w:r w:rsidR="00BD18F5">
                <w:rPr>
                  <w:b/>
                  <w:bCs/>
                  <w:noProof w:val="0"/>
                  <w:sz w:val="26"/>
                  <w:szCs w:val="26"/>
                  <w:rtl/>
                </w:rPr>
                <w:t xml:space="preserve"> ואח' 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75769"/>
    <w:multiLevelType w:val="hybridMultilevel"/>
    <w:tmpl w:val="6658C7FC"/>
    <w:lvl w:ilvl="0" w:tplc="22DCB5FA">
      <w:start w:val="1"/>
      <w:numFmt w:val="decimal"/>
      <w:lvlText w:val="%1."/>
      <w:lvlJc w:val="left"/>
      <w:pPr>
        <w:ind w:left="720" w:hanging="360"/>
      </w:pPr>
      <w:rPr>
        <w:rFonts w:ascii="David" w:hAnsi="David" w:cs="David" w:hint="default"/>
        <w:sz w:val="24"/>
        <w:szCs w:val="24"/>
      </w:r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E534D"/>
    <w:multiLevelType w:val="hybridMultilevel"/>
    <w:tmpl w:val="E88E267A"/>
    <w:lvl w:ilvl="0" w:tplc="81EEFB32">
      <w:start w:val="2"/>
      <w:numFmt w:val="hebrew1"/>
      <w:lvlText w:val="%1."/>
      <w:lvlJc w:val="left"/>
      <w:pPr>
        <w:ind w:left="1080" w:hanging="360"/>
      </w:pPr>
      <w:rPr>
        <w:rFonts w:hint="default"/>
        <w:color w:val="auto"/>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9013AFB"/>
    <w:multiLevelType w:val="hybridMultilevel"/>
    <w:tmpl w:val="849245FA"/>
    <w:lvl w:ilvl="0" w:tplc="0409000F">
      <w:start w:val="1"/>
      <w:numFmt w:val="decimal"/>
      <w:lvlText w:val="%1."/>
      <w:lvlJc w:val="left"/>
      <w:pPr>
        <w:ind w:left="1211"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59840BA"/>
    <w:multiLevelType w:val="hybridMultilevel"/>
    <w:tmpl w:val="849A9314"/>
    <w:lvl w:ilvl="0" w:tplc="E6B8E380">
      <w:start w:val="17"/>
      <w:numFmt w:val="decimal"/>
      <w:lvlText w:val="%1."/>
      <w:lvlJc w:val="left"/>
      <w:pPr>
        <w:ind w:left="1080" w:hanging="360"/>
      </w:pPr>
      <w:rPr>
        <w:rFonts w:cs="FrankRuehl"/>
        <w:sz w:val="28"/>
        <w:szCs w:val="28"/>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5B051F9F"/>
    <w:multiLevelType w:val="hybridMultilevel"/>
    <w:tmpl w:val="6658C7FC"/>
    <w:lvl w:ilvl="0" w:tplc="22DCB5FA">
      <w:start w:val="1"/>
      <w:numFmt w:val="decimal"/>
      <w:lvlText w:val="%1."/>
      <w:lvlJc w:val="left"/>
      <w:pPr>
        <w:ind w:left="720" w:hanging="360"/>
      </w:pPr>
      <w:rPr>
        <w:rFonts w:ascii="David" w:hAnsi="David" w:cs="David" w:hint="default"/>
        <w:sz w:val="24"/>
        <w:szCs w:val="24"/>
      </w:r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2F1ADB"/>
    <w:multiLevelType w:val="multilevel"/>
    <w:tmpl w:val="951011DA"/>
    <w:lvl w:ilvl="0">
      <w:start w:val="12"/>
      <w:numFmt w:val="decimal"/>
      <w:lvlText w:val="%1."/>
      <w:lvlJc w:val="left"/>
      <w:pPr>
        <w:ind w:left="567" w:hanging="567"/>
      </w:pPr>
      <w:rPr>
        <w:rFonts w:hint="default"/>
      </w:rPr>
    </w:lvl>
    <w:lvl w:ilvl="1">
      <w:start w:val="1"/>
      <w:numFmt w:val="hebrew1"/>
      <w:lvlText w:val="%2."/>
      <w:lvlJc w:val="left"/>
      <w:pPr>
        <w:ind w:left="1134" w:hanging="567"/>
      </w:pPr>
      <w:rPr>
        <w:rFonts w:hint="default"/>
        <w:color w:val="auto"/>
      </w:rPr>
    </w:lvl>
    <w:lvl w:ilvl="2">
      <w:start w:val="1"/>
      <w:numFmt w:val="decimal"/>
      <w:lvlText w:val="%3."/>
      <w:lvlJc w:val="left"/>
      <w:pPr>
        <w:tabs>
          <w:tab w:val="num" w:pos="1247"/>
        </w:tabs>
        <w:ind w:left="1474" w:hanging="3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0834"/>
    <w:rsid w:val="00011212"/>
    <w:rsid w:val="00026642"/>
    <w:rsid w:val="0004124D"/>
    <w:rsid w:val="000851E3"/>
    <w:rsid w:val="000852D4"/>
    <w:rsid w:val="000A3B8E"/>
    <w:rsid w:val="000B1548"/>
    <w:rsid w:val="000B1917"/>
    <w:rsid w:val="00105C00"/>
    <w:rsid w:val="00123CC7"/>
    <w:rsid w:val="00133433"/>
    <w:rsid w:val="001464EE"/>
    <w:rsid w:val="00194D73"/>
    <w:rsid w:val="001C15E9"/>
    <w:rsid w:val="001E01B4"/>
    <w:rsid w:val="00203086"/>
    <w:rsid w:val="002138C8"/>
    <w:rsid w:val="002143C8"/>
    <w:rsid w:val="00265648"/>
    <w:rsid w:val="0027686F"/>
    <w:rsid w:val="002914D6"/>
    <w:rsid w:val="002E0BD3"/>
    <w:rsid w:val="002F5307"/>
    <w:rsid w:val="0035557F"/>
    <w:rsid w:val="003965BC"/>
    <w:rsid w:val="003D56E1"/>
    <w:rsid w:val="00434D64"/>
    <w:rsid w:val="00445A70"/>
    <w:rsid w:val="0045371D"/>
    <w:rsid w:val="00467AA1"/>
    <w:rsid w:val="00481791"/>
    <w:rsid w:val="0048558D"/>
    <w:rsid w:val="004A3051"/>
    <w:rsid w:val="004C7841"/>
    <w:rsid w:val="00505405"/>
    <w:rsid w:val="005425E6"/>
    <w:rsid w:val="005658AA"/>
    <w:rsid w:val="005A46CF"/>
    <w:rsid w:val="005A50C9"/>
    <w:rsid w:val="005B6792"/>
    <w:rsid w:val="005D29BA"/>
    <w:rsid w:val="005D6A33"/>
    <w:rsid w:val="005E5D73"/>
    <w:rsid w:val="006024CF"/>
    <w:rsid w:val="00666802"/>
    <w:rsid w:val="006A0E2C"/>
    <w:rsid w:val="006B749D"/>
    <w:rsid w:val="006C3F4D"/>
    <w:rsid w:val="006C4051"/>
    <w:rsid w:val="0070428D"/>
    <w:rsid w:val="00712552"/>
    <w:rsid w:val="0074052A"/>
    <w:rsid w:val="007503BD"/>
    <w:rsid w:val="007B2CFF"/>
    <w:rsid w:val="007C1077"/>
    <w:rsid w:val="007C6BD7"/>
    <w:rsid w:val="007D461B"/>
    <w:rsid w:val="007F1D03"/>
    <w:rsid w:val="007F425C"/>
    <w:rsid w:val="00822AA5"/>
    <w:rsid w:val="00843D00"/>
    <w:rsid w:val="008830B9"/>
    <w:rsid w:val="008832E9"/>
    <w:rsid w:val="0091072C"/>
    <w:rsid w:val="00910833"/>
    <w:rsid w:val="009108D7"/>
    <w:rsid w:val="00937667"/>
    <w:rsid w:val="009757ED"/>
    <w:rsid w:val="009C7BE1"/>
    <w:rsid w:val="009E430C"/>
    <w:rsid w:val="009F3887"/>
    <w:rsid w:val="00A33955"/>
    <w:rsid w:val="00A6441C"/>
    <w:rsid w:val="00A706B6"/>
    <w:rsid w:val="00AD2BF0"/>
    <w:rsid w:val="00B11055"/>
    <w:rsid w:val="00B46C2A"/>
    <w:rsid w:val="00B56CFA"/>
    <w:rsid w:val="00B66890"/>
    <w:rsid w:val="00B76D06"/>
    <w:rsid w:val="00B94DDA"/>
    <w:rsid w:val="00B9682A"/>
    <w:rsid w:val="00B96E45"/>
    <w:rsid w:val="00BB7A06"/>
    <w:rsid w:val="00BD18F5"/>
    <w:rsid w:val="00BD5B6B"/>
    <w:rsid w:val="00C27CC2"/>
    <w:rsid w:val="00C40239"/>
    <w:rsid w:val="00C42032"/>
    <w:rsid w:val="00C6477D"/>
    <w:rsid w:val="00C72D22"/>
    <w:rsid w:val="00C85D70"/>
    <w:rsid w:val="00C931BD"/>
    <w:rsid w:val="00CB5D52"/>
    <w:rsid w:val="00CE6B56"/>
    <w:rsid w:val="00CF10B0"/>
    <w:rsid w:val="00CF53A1"/>
    <w:rsid w:val="00D01CFA"/>
    <w:rsid w:val="00D25ADD"/>
    <w:rsid w:val="00D32298"/>
    <w:rsid w:val="00D358FE"/>
    <w:rsid w:val="00D50040"/>
    <w:rsid w:val="00D54B3A"/>
    <w:rsid w:val="00D83E44"/>
    <w:rsid w:val="00D93797"/>
    <w:rsid w:val="00D96100"/>
    <w:rsid w:val="00D97AFC"/>
    <w:rsid w:val="00E61418"/>
    <w:rsid w:val="00E65469"/>
    <w:rsid w:val="00E9298F"/>
    <w:rsid w:val="00F43E4A"/>
    <w:rsid w:val="00F50E07"/>
    <w:rsid w:val="00F706EB"/>
    <w:rsid w:val="00F73F5E"/>
    <w:rsid w:val="00F830F4"/>
    <w:rsid w:val="00F857B6"/>
    <w:rsid w:val="00FA7A9E"/>
    <w:rsid w:val="00FB3B8E"/>
    <w:rsid w:val="00FC3D4E"/>
    <w:rsid w:val="00FE0517"/>
    <w:rsid w:val="00FF469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3A0C54-6811-4D8D-BEE6-D3276FFD3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FA7A9E"/>
    <w:pPr>
      <w:spacing w:after="160" w:line="256" w:lineRule="auto"/>
      <w:ind w:left="720"/>
      <w:contextualSpacing/>
    </w:pPr>
    <w:rPr>
      <w:rFonts w:ascii="Calibri" w:eastAsia="Calibri" w:hAnsi="Calibri" w:cs="Arial"/>
      <w:noProof w:val="0"/>
      <w:sz w:val="22"/>
      <w:szCs w:val="22"/>
    </w:rPr>
  </w:style>
  <w:style w:type="character" w:styleId="Hyperlink">
    <w:name w:val="Hyperlink"/>
    <w:unhideWhenUsed/>
    <w:rsid w:val="00FA7A9E"/>
    <w:rPr>
      <w:color w:val="0000FF"/>
      <w:u w:val="single"/>
    </w:rPr>
  </w:style>
  <w:style w:type="paragraph" w:customStyle="1" w:styleId="1">
    <w:name w:val="פיסקת רשימה1"/>
    <w:basedOn w:val="a"/>
    <w:qFormat/>
    <w:rsid w:val="00FA7A9E"/>
    <w:pPr>
      <w:spacing w:after="160" w:line="256" w:lineRule="auto"/>
      <w:ind w:left="720"/>
      <w:contextualSpacing/>
    </w:pPr>
    <w:rPr>
      <w:rFonts w:ascii="Calibri" w:hAnsi="Calibri" w:cs="Arial"/>
      <w:noProof w:val="0"/>
      <w:sz w:val="22"/>
      <w:szCs w:val="22"/>
    </w:rPr>
  </w:style>
  <w:style w:type="character" w:customStyle="1" w:styleId="normal-h">
    <w:name w:val="normal-h"/>
    <w:basedOn w:val="a0"/>
    <w:rsid w:val="00FA7A9E"/>
  </w:style>
  <w:style w:type="character" w:styleId="FollowedHyperlink">
    <w:name w:val="FollowedHyperlink"/>
    <w:basedOn w:val="a0"/>
    <w:semiHidden/>
    <w:unhideWhenUsed/>
    <w:rsid w:val="00481791"/>
    <w:rPr>
      <w:color w:val="800080" w:themeColor="followedHyperlink"/>
      <w:u w:val="single"/>
    </w:rPr>
  </w:style>
  <w:style w:type="paragraph" w:customStyle="1" w:styleId="ae">
    <w:name w:val="כללי"/>
    <w:basedOn w:val="a"/>
    <w:rsid w:val="00B11055"/>
    <w:pPr>
      <w:overflowPunct w:val="0"/>
      <w:autoSpaceDE w:val="0"/>
      <w:autoSpaceDN w:val="0"/>
      <w:adjustRightInd w:val="0"/>
      <w:spacing w:after="240" w:line="270" w:lineRule="exact"/>
      <w:ind w:firstLine="284"/>
      <w:jc w:val="both"/>
    </w:pPr>
    <w:rPr>
      <w:rFonts w:cs="FrankRuehl"/>
      <w:noProof w:val="0"/>
      <w:sz w:val="20"/>
      <w:lang w:eastAsia="he-IL"/>
    </w:rPr>
  </w:style>
  <w:style w:type="paragraph" w:styleId="af">
    <w:name w:val="Quote"/>
    <w:basedOn w:val="ae"/>
    <w:link w:val="af0"/>
    <w:qFormat/>
    <w:rsid w:val="00B11055"/>
    <w:pPr>
      <w:ind w:left="454" w:right="454" w:firstLine="0"/>
    </w:pPr>
  </w:style>
  <w:style w:type="character" w:customStyle="1" w:styleId="af0">
    <w:name w:val="ציטוט תו"/>
    <w:basedOn w:val="a0"/>
    <w:link w:val="af"/>
    <w:rsid w:val="00B11055"/>
    <w:rPr>
      <w:rFonts w:cs="FrankRuehl"/>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382965">
      <w:bodyDiv w:val="1"/>
      <w:marLeft w:val="0"/>
      <w:marRight w:val="0"/>
      <w:marTop w:val="0"/>
      <w:marBottom w:val="0"/>
      <w:divBdr>
        <w:top w:val="none" w:sz="0" w:space="0" w:color="auto"/>
        <w:left w:val="none" w:sz="0" w:space="0" w:color="auto"/>
        <w:bottom w:val="none" w:sz="0" w:space="0" w:color="auto"/>
        <w:right w:val="none" w:sz="0" w:space="0" w:color="auto"/>
      </w:divBdr>
    </w:div>
    <w:div w:id="1353149450">
      <w:bodyDiv w:val="1"/>
      <w:marLeft w:val="0"/>
      <w:marRight w:val="0"/>
      <w:marTop w:val="0"/>
      <w:marBottom w:val="0"/>
      <w:divBdr>
        <w:top w:val="none" w:sz="0" w:space="0" w:color="auto"/>
        <w:left w:val="none" w:sz="0" w:space="0" w:color="auto"/>
        <w:bottom w:val="none" w:sz="0" w:space="0" w:color="auto"/>
        <w:right w:val="none" w:sz="0" w:space="0" w:color="auto"/>
      </w:divBdr>
    </w:div>
    <w:div w:id="166153869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safrut/bookgroup/2144" TargetMode="External"/><Relationship Id="rId18" Type="http://schemas.openxmlformats.org/officeDocument/2006/relationships/hyperlink" Target="http://www.nevo.co.il/case/5955366" TargetMode="External"/><Relationship Id="rId26" Type="http://schemas.openxmlformats.org/officeDocument/2006/relationships/hyperlink" Target="http://www.nevo.co.il/law/72178/42" TargetMode="External"/><Relationship Id="rId3" Type="http://schemas.openxmlformats.org/officeDocument/2006/relationships/styles" Target="styles.xml"/><Relationship Id="rId21" Type="http://schemas.openxmlformats.org/officeDocument/2006/relationships/hyperlink" Target="http://www.nevo.co.il/law/72178"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evo.co.il/case/5955366" TargetMode="External"/><Relationship Id="rId17" Type="http://schemas.openxmlformats.org/officeDocument/2006/relationships/image" Target="media/image1.png"/><Relationship Id="rId25" Type="http://schemas.openxmlformats.org/officeDocument/2006/relationships/hyperlink" Target="http://www.nevo.co.il/law/72178"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evo.co.il/case/6175011" TargetMode="External"/><Relationship Id="rId20" Type="http://schemas.openxmlformats.org/officeDocument/2006/relationships/hyperlink" Target="http://www.nevo.co.il/law/72178/8a" TargetMode="External"/><Relationship Id="rId29" Type="http://schemas.openxmlformats.org/officeDocument/2006/relationships/hyperlink" Target="http://www.nevo.co.il/safrut/bookgroup/562"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16983" TargetMode="External"/><Relationship Id="rId24" Type="http://schemas.openxmlformats.org/officeDocument/2006/relationships/hyperlink" Target="http://www.nevo.co.il/law/72178/41"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nevo.co.il/case/2377616" TargetMode="External"/><Relationship Id="rId23" Type="http://schemas.openxmlformats.org/officeDocument/2006/relationships/hyperlink" Target="http://www.nevo.co.il/law/72178" TargetMode="External"/><Relationship Id="rId28" Type="http://schemas.openxmlformats.org/officeDocument/2006/relationships/hyperlink" Target="http://www.nevo.co.il/case/6175011" TargetMode="External"/><Relationship Id="rId36" Type="http://schemas.openxmlformats.org/officeDocument/2006/relationships/theme" Target="theme/theme1.xml"/><Relationship Id="rId10" Type="http://schemas.openxmlformats.org/officeDocument/2006/relationships/hyperlink" Target="http://www.nevo.co.il/law/72178" TargetMode="External"/><Relationship Id="rId19" Type="http://schemas.openxmlformats.org/officeDocument/2006/relationships/image" Target="media/image2.png"/><Relationship Id="rId31"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yperlink" Target="http://www.nevo.co.il/case/17910988" TargetMode="External"/><Relationship Id="rId14" Type="http://schemas.openxmlformats.org/officeDocument/2006/relationships/hyperlink" Target="http://www.nevo.co.il/safrut/bookgroup/360" TargetMode="External"/><Relationship Id="rId22" Type="http://schemas.openxmlformats.org/officeDocument/2006/relationships/hyperlink" Target="http://www.nevo.co.il/law/72178/8.b" TargetMode="External"/><Relationship Id="rId27" Type="http://schemas.openxmlformats.org/officeDocument/2006/relationships/hyperlink" Target="http://www.nevo.co.il/law/72178" TargetMode="External"/><Relationship Id="rId30" Type="http://schemas.openxmlformats.org/officeDocument/2006/relationships/hyperlink" Target="http://www.nevo.co.il/safrut/bookgroup/2287" TargetMode="External"/><Relationship Id="rId35" Type="http://schemas.openxmlformats.org/officeDocument/2006/relationships/glossaryDocument" Target="glossary/document.xml"/><Relationship Id="rId8" Type="http://schemas.openxmlformats.org/officeDocument/2006/relationships/hyperlink" Target="http://www.nevo.co.il/safrut/bookgroup/3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42AA7DA2E954ABF8768FE024FD34E53"/>
        <w:category>
          <w:name w:val="כללי"/>
          <w:gallery w:val="placeholder"/>
        </w:category>
        <w:types>
          <w:type w:val="bbPlcHdr"/>
        </w:types>
        <w:behaviors>
          <w:behavior w:val="content"/>
        </w:behaviors>
        <w:guid w:val="{F2A359AC-1567-42AB-9CCF-B7D5694293ED}"/>
      </w:docPartPr>
      <w:docPartBody>
        <w:p w:rsidR="00217B59" w:rsidRDefault="00A017F7" w:rsidP="00A017F7">
          <w:pPr>
            <w:pStyle w:val="442AA7DA2E954ABF8768FE024FD34E53"/>
          </w:pPr>
          <w:r>
            <w:rPr>
              <w:rStyle w:val="a3"/>
              <w:rtl/>
            </w:rPr>
            <w:t>תאור קבוצת שייכות צד א</w:t>
          </w:r>
        </w:p>
      </w:docPartBody>
    </w:docPart>
    <w:docPart>
      <w:docPartPr>
        <w:name w:val="835AC55720874EFB86714451A322DE05"/>
        <w:category>
          <w:name w:val="כללי"/>
          <w:gallery w:val="placeholder"/>
        </w:category>
        <w:types>
          <w:type w:val="bbPlcHdr"/>
        </w:types>
        <w:behaviors>
          <w:behavior w:val="content"/>
        </w:behaviors>
        <w:guid w:val="{660427D8-5A5E-4D57-93B4-923804805BEE}"/>
      </w:docPartPr>
      <w:docPartBody>
        <w:p w:rsidR="00217B59" w:rsidRDefault="00A017F7" w:rsidP="00A017F7">
          <w:pPr>
            <w:pStyle w:val="835AC55720874EFB86714451A322DE05"/>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17B59"/>
    <w:rsid w:val="004D57CF"/>
    <w:rsid w:val="006D467C"/>
    <w:rsid w:val="009A1046"/>
    <w:rsid w:val="00A017F7"/>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17F7"/>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 w:type="paragraph" w:customStyle="1" w:styleId="442AA7DA2E954ABF8768FE024FD34E53">
    <w:name w:val="442AA7DA2E954ABF8768FE024FD34E53"/>
    <w:rsid w:val="00A017F7"/>
    <w:pPr>
      <w:bidi/>
      <w:spacing w:after="160" w:line="259" w:lineRule="auto"/>
    </w:pPr>
  </w:style>
  <w:style w:type="paragraph" w:customStyle="1" w:styleId="835AC55720874EFB86714451A322DE05">
    <w:name w:val="835AC55720874EFB86714451A322DE05"/>
    <w:rsid w:val="00A017F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4754</Words>
  <Characters>23771</Characters>
  <Application>Microsoft Office Word</Application>
  <DocSecurity>0</DocSecurity>
  <Lines>198</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2023-09-19T10:15:00Z</dcterms:created>
  <dcterms:modified xsi:type="dcterms:W3CDTF">2023-09-19T10:15:00Z</dcterms:modified>
</cp:coreProperties>
</file>